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6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21"/>
        <w:gridCol w:w="1429"/>
        <w:gridCol w:w="1620"/>
        <w:gridCol w:w="3960"/>
        <w:gridCol w:w="19"/>
      </w:tblGrid>
      <w:tr w:rsidR="008E4102" w:rsidTr="00A310F0">
        <w:trPr>
          <w:trHeight w:val="569"/>
        </w:trPr>
        <w:tc>
          <w:tcPr>
            <w:tcW w:w="10477" w:type="dxa"/>
            <w:gridSpan w:val="6"/>
            <w:shd w:val="clear" w:color="auto" w:fill="B7DFA8" w:themeFill="accent1" w:themeFillTint="66"/>
          </w:tcPr>
          <w:p w:rsidR="008E4102" w:rsidRPr="00E44D8A" w:rsidRDefault="005B7288" w:rsidP="009E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Lista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Kontratave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Realizuara</w:t>
            </w:r>
            <w:proofErr w:type="spellEnd"/>
          </w:p>
        </w:tc>
      </w:tr>
      <w:tr w:rsidR="008E4102" w:rsidTr="003D74DC">
        <w:trPr>
          <w:gridAfter w:val="1"/>
          <w:wAfter w:w="19" w:type="dxa"/>
          <w:trHeight w:val="419"/>
        </w:trPr>
        <w:tc>
          <w:tcPr>
            <w:tcW w:w="828" w:type="dxa"/>
            <w:shd w:val="clear" w:color="auto" w:fill="B6E1E7" w:themeFill="accent5" w:themeFillTint="66"/>
          </w:tcPr>
          <w:p w:rsidR="008E4102" w:rsidRPr="00954EEB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shd w:val="clear" w:color="auto" w:fill="B6E1E7" w:themeFill="accent5" w:themeFillTint="66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Objekti</w:t>
            </w:r>
            <w:proofErr w:type="spellEnd"/>
          </w:p>
        </w:tc>
        <w:tc>
          <w:tcPr>
            <w:tcW w:w="1429" w:type="dxa"/>
            <w:shd w:val="clear" w:color="auto" w:fill="B6E1E7" w:themeFill="accent5" w:themeFillTint="66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Vlera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kontraktuar</w:t>
            </w:r>
            <w:proofErr w:type="spellEnd"/>
          </w:p>
        </w:tc>
        <w:tc>
          <w:tcPr>
            <w:tcW w:w="1620" w:type="dxa"/>
            <w:shd w:val="clear" w:color="auto" w:fill="B6E1E7" w:themeFill="accent5" w:themeFillTint="66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Palet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kontraktuese</w:t>
            </w:r>
            <w:proofErr w:type="spellEnd"/>
          </w:p>
        </w:tc>
        <w:tc>
          <w:tcPr>
            <w:tcW w:w="3960" w:type="dxa"/>
            <w:shd w:val="clear" w:color="auto" w:fill="B6E1E7" w:themeFill="accent5" w:themeFillTint="66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Pershkrimin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sherbimeve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8E4102" w:rsidRPr="00954EEB" w:rsidRDefault="008E4102" w:rsidP="009E5F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Loti 3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Orendi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dhe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pajisje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per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mobilim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zyrash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1589700.00</w:t>
            </w:r>
          </w:p>
          <w:p w:rsidR="008E4102" w:rsidRPr="00E44D8A" w:rsidRDefault="008E4102" w:rsidP="009E5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MUCA SHPK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orendi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dhe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pajisje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per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mobilim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zyrash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Burgjeve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Loti 6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Veze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6187500</w:t>
            </w:r>
          </w:p>
          <w:p w:rsidR="008E4102" w:rsidRPr="00E44D8A" w:rsidRDefault="008E4102" w:rsidP="009E5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DAJTI PARK 2007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veze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Burgjeve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8E4102" w:rsidRPr="00954EEB" w:rsidRDefault="008E4102" w:rsidP="009E5F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Loti 3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Orendi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dhe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pajisje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per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mobilim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zyrash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891,300.00 </w:t>
            </w:r>
          </w:p>
          <w:p w:rsidR="008E4102" w:rsidRPr="00E44D8A" w:rsidRDefault="008E4102" w:rsidP="009E5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MUCA SHPK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orendi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dhe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pajisje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per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mobilim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zyrash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Burgjeve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8E4102" w:rsidRPr="00954EEB" w:rsidRDefault="008E4102" w:rsidP="009E5F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Loti 6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Kompjutera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Tetor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2,971,230</w:t>
            </w:r>
          </w:p>
          <w:p w:rsidR="008E4102" w:rsidRPr="00E44D8A" w:rsidRDefault="008E4102" w:rsidP="009E5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FASTECH SHPK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AKSHI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kompjutera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Burgjeve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1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8E4102" w:rsidRPr="00954EEB" w:rsidRDefault="008E4102" w:rsidP="009E5F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Materiale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kancelarie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baze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letre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999,998.23</w:t>
            </w:r>
          </w:p>
          <w:p w:rsidR="008E4102" w:rsidRPr="00E44D8A" w:rsidRDefault="008E4102" w:rsidP="009E5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BOE “INFOSOFT OFFICE” SHPK </w:t>
            </w:r>
            <w:proofErr w:type="spellStart"/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“INTERLOGISTIC”  SHPK 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materiale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kancelarie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baze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letre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Burgjeve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8E4102" w:rsidRPr="00954EEB" w:rsidRDefault="008E4102" w:rsidP="009E5F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Loti 1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Buke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gruri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dhe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simite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35,800,738.00 </w:t>
            </w:r>
          </w:p>
          <w:p w:rsidR="008E4102" w:rsidRPr="00E44D8A" w:rsidRDefault="008E4102" w:rsidP="009E5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Sinani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Trading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gruri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Drejtorinë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Përgjithshme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Burgjeve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dënuarit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IEVP-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1143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Loti 6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Kompjutera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9,667,900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FASTECH SHPK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AKSHI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kompjutera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Burgjeve</w:t>
            </w:r>
            <w:proofErr w:type="spellEnd"/>
          </w:p>
        </w:tc>
      </w:tr>
      <w:tr w:rsidR="008E410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02" w:rsidRPr="00954EEB" w:rsidRDefault="008E410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Loti 1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Blerje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UPS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492,910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SINTEZA CO</w:t>
            </w:r>
          </w:p>
          <w:p w:rsidR="008E4102" w:rsidRPr="00E44D8A" w:rsidRDefault="008E4102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AKSHI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02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urnizimi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UPS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për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nevoja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të</w:t>
            </w:r>
            <w:proofErr w:type="spellEnd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D.P. </w:t>
            </w:r>
            <w:proofErr w:type="spellStart"/>
            <w:r w:rsidR="008E4102"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Burgjeve</w:t>
            </w:r>
            <w:proofErr w:type="spellEnd"/>
          </w:p>
        </w:tc>
      </w:tr>
      <w:tr w:rsidR="00BA30C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3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30C1" w:rsidRPr="00954EEB" w:rsidRDefault="00BA30C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Burgjeve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4810000.00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ALBANIA MOTOR COMPANY 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Furnizim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automjete</w:t>
            </w:r>
            <w:proofErr w:type="spellEnd"/>
            <w:r w:rsidRPr="00E44D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DPB-ne</w:t>
            </w:r>
          </w:p>
        </w:tc>
      </w:tr>
      <w:tr w:rsidR="00BA30C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350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30C1" w:rsidRPr="00954EEB" w:rsidRDefault="00BA30C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9300000.00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AUTOVISION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30C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50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30C1" w:rsidRPr="00954EEB" w:rsidRDefault="00BA30C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7270000.00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3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ALBANIA MOTOR COMPANY  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30C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633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954EEB" w:rsidRDefault="00BA30C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4280000.00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3D74DC" w:rsidP="003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ALBANIA MOTOR </w:t>
            </w:r>
            <w:r w:rsidR="00BA30C1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COMPANY  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54E75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954EEB" w:rsidRDefault="00154E75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154E75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bulmet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emergjente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DPB-se”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denuarit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ne IEVP-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54E75" w:rsidRPr="00E44D8A" w:rsidRDefault="00154E75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BA30C1" w:rsidP="009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54792000.00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BA30C1" w:rsidP="009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Sinani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Trading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="003D4EFA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urnizimi</w:t>
            </w:r>
            <w:proofErr w:type="spellEnd"/>
            <w:r w:rsidR="003D4EFA" w:rsidRPr="00E4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 </w:t>
            </w:r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Qumësht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Gjalpë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Djathë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freskët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, Kos per DPB-ne</w:t>
            </w:r>
          </w:p>
        </w:tc>
      </w:tr>
      <w:tr w:rsidR="00154E75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954EEB" w:rsidRDefault="00154E75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1" w:rsidRPr="00E44D8A" w:rsidRDefault="00BA30C1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gaz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lëngshëm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emergjente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dënuarit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IEVP-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54E75" w:rsidRPr="00E44D8A" w:rsidRDefault="00154E75" w:rsidP="009E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BA30C1" w:rsidP="009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8440885.45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BA30C1" w:rsidP="009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Gas Group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5" w:rsidRPr="00E44D8A" w:rsidRDefault="00A310F0" w:rsidP="0085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   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propan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butan</w:t>
            </w:r>
            <w:proofErr w:type="spellEnd"/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54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artikuj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ushqimorë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bukë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bulmet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emergjente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DPB,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denuarit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ne IEVP-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ndarë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32306237.50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Sinani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Trading 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310F0" w:rsidP="0085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Qumësht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Gjalpë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Djathë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freskët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Bukë</w:t>
            </w:r>
            <w:proofErr w:type="spellEnd"/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58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41098312.50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fruta-perime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emergjente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dënuarit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IEVP-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15987097.50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DAJTI PARK 2007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310F0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atate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Perime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Karrota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Qepë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Domate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Kunguj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njomë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Spinaq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Portokalle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Mandarina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Dardha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Kajsi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Pjeshkë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Kumbulla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Fruta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perime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produkteve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përafërta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Fasule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bizele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speca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domate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perime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tjera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Bizele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konservuara</w:t>
            </w:r>
            <w:proofErr w:type="spellEnd"/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33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paisje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logjistike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kuzhine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DPB-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ndare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lote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17395000.00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BUNA 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310F0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jenerator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Televizor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ngjyra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kuzhine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Pompa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Bolier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ngrohës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Kaldaja</w:t>
            </w:r>
            <w:proofErr w:type="spellEnd"/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401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13995000.00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INPLY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31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burgjeve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ndare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ne 2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17665000.00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ALBANIA MOTOR COMPANY 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14F" w:rsidRPr="00E44D8A" w:rsidRDefault="00A310F0" w:rsidP="0085114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</w:t>
            </w:r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utomjete</w:t>
            </w:r>
            <w:proofErr w:type="spellEnd"/>
          </w:p>
          <w:p w:rsidR="00AC0082" w:rsidRPr="00E44D8A" w:rsidRDefault="00AC0082" w:rsidP="00A31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5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63303130.00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63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AUTOVISION  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C0082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kuzhine</w:t>
            </w:r>
            <w:proofErr w:type="spellEnd"/>
          </w:p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5124900.00</w:t>
            </w:r>
          </w:p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4F" w:rsidRPr="00E44D8A" w:rsidRDefault="00A310F0" w:rsidP="0085114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kuzhine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gatimi</w:t>
            </w:r>
            <w:proofErr w:type="spellEnd"/>
          </w:p>
          <w:p w:rsidR="00AC0082" w:rsidRPr="00E44D8A" w:rsidRDefault="00AC0082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kancelari</w:t>
            </w:r>
            <w:proofErr w:type="spellEnd"/>
          </w:p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InfoSoft Office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310F0" w:rsidP="00A310F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</w:t>
            </w:r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osje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Stilolapsa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Kapese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letrash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Blloqe</w:t>
            </w:r>
            <w:proofErr w:type="spellEnd"/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mjekesore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stomatologjike</w:t>
            </w:r>
            <w:proofErr w:type="spellEnd"/>
          </w:p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97337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14,416,697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97337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Euromed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4F" w:rsidRPr="00E44D8A" w:rsidRDefault="00A310F0" w:rsidP="0085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ateriale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konsumueshme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konsumi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jo-kimike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14F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hematologjike</w:t>
            </w:r>
            <w:proofErr w:type="spellEnd"/>
          </w:p>
          <w:p w:rsidR="00AC0082" w:rsidRPr="00E44D8A" w:rsidRDefault="0085114F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551534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pastrimi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99300.00</w:t>
            </w:r>
          </w:p>
          <w:p w:rsidR="00AC0082" w:rsidRPr="00E44D8A" w:rsidRDefault="00AC008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XH - N - SH GROUP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EB" w:rsidRPr="00E44D8A" w:rsidRDefault="00A310F0" w:rsidP="009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pastrimi</w:t>
            </w:r>
            <w:proofErr w:type="spellEnd"/>
          </w:p>
          <w:p w:rsidR="00AC0082" w:rsidRPr="00E44D8A" w:rsidRDefault="0085114F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medikamente</w:t>
            </w:r>
            <w:proofErr w:type="spellEnd"/>
          </w:p>
          <w:p w:rsidR="00AC0082" w:rsidRPr="00E44D8A" w:rsidRDefault="00AC008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97337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32,072,705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97337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Farmanet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Albania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A310F0" w:rsidP="009E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trak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ushqimor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metabolizmin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ç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rregullime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lihen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acidet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çrregullime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funksionale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gastrointestinale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gjakun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organet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formimit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gjakut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sistemin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kardiovaskular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gjakun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organet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formimit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gjakut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kardiovaskular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terapi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kardiake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urogjenital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hormonet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terapi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endokrine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nervor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jekësore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organet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shqisore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rodukte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mjekësore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sëmundjet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obstruktive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rrugeve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frymemarrjes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534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954EEB" w:rsidRDefault="00551534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pajisjesh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reduktimin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manaxhimin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sinjalit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televizivne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ambientet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IEVP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709000.00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MAXCOM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antena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televizive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abllo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telekomunikacioni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abllo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fibër-optike</w:t>
            </w:r>
            <w:proofErr w:type="spellEnd"/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51534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954EEB" w:rsidRDefault="00551534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pjese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kembimi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</w:p>
          <w:p w:rsidR="00551534" w:rsidRPr="00E44D8A" w:rsidRDefault="00551534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1733100.00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VILNIK MOTORS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A310F0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jesë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këmbimi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furgonë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makina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transporti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mallrash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filtra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ajri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filtra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vaji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iltra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nafte</w:t>
            </w:r>
            <w:proofErr w:type="spellEnd"/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51534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954EEB" w:rsidRDefault="00551534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551534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Permiresimi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infrastruktures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furnizimit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energji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elektrike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IEVP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Fushe-Kruje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2864511.50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CURRI  </w:t>
            </w:r>
          </w:p>
          <w:p w:rsidR="00551534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EB" w:rsidRPr="00E44D8A" w:rsidRDefault="00A310F0" w:rsidP="009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unë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ndërtimore</w:t>
            </w:r>
            <w:proofErr w:type="spellEnd"/>
          </w:p>
          <w:p w:rsidR="00551534" w:rsidRPr="00E44D8A" w:rsidRDefault="0085114F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51534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954EEB" w:rsidRDefault="00551534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Rimbushje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fikse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zjarri</w:t>
            </w:r>
            <w:proofErr w:type="spellEnd"/>
          </w:p>
          <w:p w:rsidR="00551534" w:rsidRPr="00E44D8A" w:rsidRDefault="00551534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540000.00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MBROJTJA DHE SHPËTIMI NGA ZJARRI </w:t>
            </w:r>
          </w:p>
          <w:p w:rsidR="00551534" w:rsidRPr="00E44D8A" w:rsidRDefault="00551534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EB" w:rsidRPr="00E44D8A" w:rsidRDefault="00A310F0" w:rsidP="009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85114F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bushje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bombola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gazi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zjarrfikës</w:t>
            </w:r>
            <w:proofErr w:type="spellEnd"/>
          </w:p>
          <w:p w:rsidR="00551534" w:rsidRPr="00E44D8A" w:rsidRDefault="0085114F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51534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954EEB" w:rsidRDefault="00551534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Riparim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sistemin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ngrohje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ftohje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ne IEVP Shkoder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13794992.95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34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GSM KLIMAIRE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EB" w:rsidRPr="00E44D8A" w:rsidRDefault="00A310F0" w:rsidP="00954EE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</w:t>
            </w:r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bileta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ileta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transporti</w:t>
            </w:r>
            <w:proofErr w:type="spellEnd"/>
          </w:p>
          <w:p w:rsidR="00954EEB" w:rsidRPr="00E44D8A" w:rsidRDefault="00A310F0" w:rsidP="009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ajisje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ngrohje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ventilimi</w:t>
            </w:r>
            <w:proofErr w:type="spellEnd"/>
          </w:p>
          <w:p w:rsidR="00551534" w:rsidRPr="00E44D8A" w:rsidRDefault="0085114F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E5F1D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38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954EEB" w:rsidRDefault="009E5F1D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Shpenzime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bileta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sherbime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jashte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shtetit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41300.00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AMADEUS TRAWELL AND TOURS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EEB" w:rsidRPr="00E44D8A" w:rsidRDefault="00A310F0" w:rsidP="00954EE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</w:t>
            </w:r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ileta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transporti</w:t>
            </w:r>
            <w:proofErr w:type="spellEnd"/>
          </w:p>
          <w:p w:rsidR="009E5F1D" w:rsidRPr="00E44D8A" w:rsidRDefault="009E5F1D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5F1D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5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954EEB" w:rsidRDefault="009E5F1D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88999.00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5F1D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5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954EEB" w:rsidRDefault="009E5F1D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AVIA CENTER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5F1D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25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954EEB" w:rsidRDefault="009E5F1D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175120.00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5F1D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37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954EEB" w:rsidRDefault="009E5F1D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KELVIN TRAVEL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1D" w:rsidRPr="00E44D8A" w:rsidRDefault="009E5F1D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08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954EEB" w:rsidRDefault="00AC008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C05E9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Sigurimi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TPL i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automjeteve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D.P.Burgjeve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C05E9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594000.00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2" w:rsidRPr="00E44D8A" w:rsidRDefault="00C05E9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SIGMA INTERALBANIAN VIENNA INSURANCE </w:t>
            </w:r>
            <w:proofErr w:type="gram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GROUP 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sh.a</w:t>
            </w:r>
            <w:proofErr w:type="spellEnd"/>
            <w:proofErr w:type="gram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EB" w:rsidRPr="00E44D8A" w:rsidRDefault="00A310F0" w:rsidP="00954EE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>urnizimi</w:t>
            </w:r>
            <w:proofErr w:type="spellEnd"/>
            <w:r w:rsidR="00954EEB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hërbime</w:t>
            </w:r>
            <w:proofErr w:type="spellEnd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EEB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sigurimi</w:t>
            </w:r>
            <w:proofErr w:type="spellEnd"/>
          </w:p>
          <w:p w:rsidR="00AC0082" w:rsidRPr="00E44D8A" w:rsidRDefault="00AC0082" w:rsidP="009E5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73F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954EEB" w:rsidRDefault="005673F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buta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24,588,000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AN&amp;RA SHPK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Furnizimi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</w:p>
        </w:tc>
      </w:tr>
      <w:tr w:rsidR="005673F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954EEB" w:rsidRDefault="005673F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veshmbathje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loti II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4,676,400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AN&amp;RA SHPK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F1" w:rsidRPr="00E44D8A" w:rsidRDefault="005673F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Furnizimi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veshmbathje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73F1" w:rsidRPr="00E44D8A" w:rsidRDefault="005673F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C0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954EEB" w:rsidRDefault="004713C0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Riparim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mirembajtje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2,883,240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VILNIK MOTORS SHPK</w:t>
            </w:r>
          </w:p>
          <w:p w:rsidR="00EE575A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821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ASHP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Sherbime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riparim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mirembajtje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automjetesh</w:t>
            </w:r>
            <w:proofErr w:type="spellEnd"/>
          </w:p>
        </w:tc>
      </w:tr>
      <w:tr w:rsidR="0044474A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954EEB" w:rsidRDefault="0044474A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1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goma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3,285,715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KLOSI-R Company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44474A" w:rsidRPr="00E44D8A" w:rsidRDefault="0044474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goma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</w:tr>
      <w:tr w:rsidR="00EE575A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A" w:rsidRPr="00954EEB" w:rsidRDefault="00EE575A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A" w:rsidRPr="00E44D8A" w:rsidRDefault="00EE575A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3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mishi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nenproduktet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tij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A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134,680,620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A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Argent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Daci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PF</w:t>
            </w:r>
            <w:r w:rsidR="00144821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A" w:rsidRPr="00E44D8A" w:rsidRDefault="0014482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mish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nenprodukte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</w:p>
        </w:tc>
      </w:tr>
      <w:tr w:rsidR="0014482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954EEB" w:rsidRDefault="0014482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4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ushqime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koloniale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81,721,608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BOE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Gerti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1987”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&amp;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Olta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Sharra”PF</w:t>
            </w:r>
            <w:proofErr w:type="spellEnd"/>
          </w:p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ushqime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koloniale</w:t>
            </w:r>
            <w:proofErr w:type="spellEnd"/>
          </w:p>
        </w:tc>
      </w:tr>
      <w:tr w:rsidR="004713C0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954EEB" w:rsidRDefault="004713C0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5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veze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25,826,488.6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EE575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Dajti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Park 2007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EE575A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veze</w:t>
            </w:r>
            <w:proofErr w:type="spellEnd"/>
          </w:p>
        </w:tc>
      </w:tr>
      <w:tr w:rsidR="004713C0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954EEB" w:rsidRDefault="004713C0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14482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6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fruta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perime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60,868,077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Dajti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Park 2007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C0" w:rsidRPr="00E44D8A" w:rsidRDefault="0014482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fruta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perime</w:t>
            </w:r>
            <w:proofErr w:type="spellEnd"/>
          </w:p>
        </w:tc>
      </w:tr>
      <w:tr w:rsidR="00144821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954EEB" w:rsidRDefault="00144821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Sherbim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printimi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fotokopje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skanim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6,100,610.47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Infosoft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office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144821" w:rsidRPr="00E44D8A" w:rsidRDefault="00144821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1" w:rsidRPr="00E44D8A" w:rsidRDefault="00144821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kancelarie</w:t>
            </w:r>
            <w:proofErr w:type="spellEnd"/>
          </w:p>
        </w:tc>
      </w:tr>
      <w:tr w:rsidR="00800C3B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954EEB" w:rsidRDefault="00800C3B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1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diesel”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48,399,912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800C3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BOE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” &amp; </w:t>
            </w: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group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00C3B" w:rsidRPr="00E44D8A" w:rsidRDefault="00800C3B" w:rsidP="00800C3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diesel</w:t>
            </w:r>
          </w:p>
        </w:tc>
      </w:tr>
      <w:tr w:rsidR="0044474A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954EEB" w:rsidRDefault="0044474A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3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benzine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 plumb”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1,600,087.20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BOE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 &amp;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group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44474A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automjetet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3B"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800C3B" w:rsidRPr="00E44D8A">
              <w:rPr>
                <w:rFonts w:ascii="Times New Roman" w:hAnsi="Times New Roman" w:cs="Times New Roman"/>
                <w:sz w:val="24"/>
                <w:szCs w:val="24"/>
              </w:rPr>
              <w:t>benzine</w:t>
            </w:r>
            <w:proofErr w:type="spellEnd"/>
          </w:p>
        </w:tc>
      </w:tr>
      <w:tr w:rsidR="0044474A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954EEB" w:rsidRDefault="0044474A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800C3B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gaz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lengshem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7,337,320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Gas Group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4A" w:rsidRPr="00E44D8A" w:rsidRDefault="00800C3B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lengshem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DPB</w:t>
            </w:r>
          </w:p>
        </w:tc>
      </w:tr>
      <w:tr w:rsidR="00800C3B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954EEB" w:rsidRDefault="00800C3B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1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diesel”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70,000,000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800C3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BOE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 &amp;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group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00C3B" w:rsidRPr="00E44D8A" w:rsidRDefault="00800C3B" w:rsidP="00800C3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automjetet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diesel</w:t>
            </w:r>
          </w:p>
        </w:tc>
      </w:tr>
      <w:tr w:rsidR="00800C3B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954EEB" w:rsidRDefault="00800C3B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3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Furnizimi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benzine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 plumb”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1,980,000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800C3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BOE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 &amp;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Kastrati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group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00C3B" w:rsidRPr="00E44D8A" w:rsidRDefault="00800C3B" w:rsidP="00800C3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lende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djegese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benzine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pa plumb per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</w:tr>
      <w:tr w:rsidR="00800C3B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954EEB" w:rsidRDefault="00800C3B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Loti 3 “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vajra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lubrifikant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alkool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frenash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pastrues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motori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2,200,320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TOP-OIL SHA</w:t>
            </w:r>
          </w:p>
          <w:p w:rsidR="00800C3B" w:rsidRPr="00E44D8A" w:rsidRDefault="00800C3B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Vajra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lubrifikant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alkool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frenash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pastrues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motori</w:t>
            </w:r>
            <w:proofErr w:type="spellEnd"/>
          </w:p>
        </w:tc>
      </w:tr>
      <w:tr w:rsidR="00800C3B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954EEB" w:rsidRDefault="00800C3B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800C3B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Riparim</w:t>
            </w:r>
            <w:proofErr w:type="spellEnd"/>
            <w:r w:rsidR="00E4373D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73D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mirembajtje</w:t>
            </w:r>
            <w:proofErr w:type="spellEnd"/>
            <w:r w:rsidR="00E4373D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3D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automjetesh</w:t>
            </w:r>
            <w:proofErr w:type="spellEnd"/>
            <w:r w:rsidR="00E4373D"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DPB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E4373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2,620,440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E4373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Vilnik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Motors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E4373D" w:rsidRPr="00E44D8A" w:rsidRDefault="00E4373D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3B" w:rsidRPr="00E44D8A" w:rsidRDefault="00E4373D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Sherbim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riparimi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mirembajtje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automjetesh</w:t>
            </w:r>
            <w:proofErr w:type="spellEnd"/>
          </w:p>
        </w:tc>
      </w:tr>
      <w:tr w:rsidR="00742F42" w:rsidRPr="00081D3D" w:rsidTr="003D7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" w:type="dxa"/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2" w:rsidRPr="00954EEB" w:rsidRDefault="00742F42" w:rsidP="009E5F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2" w:rsidRPr="00E44D8A" w:rsidRDefault="00742F42" w:rsidP="009E5F1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gaz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lengshem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nevoja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emergjente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DPB-se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2" w:rsidRPr="00E44D8A" w:rsidRDefault="00742F42" w:rsidP="009E5F1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10,129,062.5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2" w:rsidRPr="00E44D8A" w:rsidRDefault="00742F42" w:rsidP="00742F4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Gas Group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  <w:p w:rsidR="00742F42" w:rsidRPr="00E44D8A" w:rsidRDefault="00742F42" w:rsidP="00742F4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autorizim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E44D8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ASHPP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2" w:rsidRPr="00E44D8A" w:rsidRDefault="00742F42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Furnizim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>lengshem</w:t>
            </w:r>
            <w:proofErr w:type="spellEnd"/>
            <w:r w:rsidRPr="00E44D8A">
              <w:rPr>
                <w:rFonts w:ascii="Times New Roman" w:hAnsi="Times New Roman" w:cs="Times New Roman"/>
                <w:sz w:val="24"/>
                <w:szCs w:val="24"/>
              </w:rPr>
              <w:t xml:space="preserve"> per DPB</w:t>
            </w:r>
          </w:p>
          <w:p w:rsidR="00742F42" w:rsidRPr="00E44D8A" w:rsidRDefault="00742F42" w:rsidP="0095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E34" w:rsidRDefault="00502E34"/>
    <w:sectPr w:rsidR="00502E34" w:rsidSect="00081D3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C1" w:rsidRDefault="00112DC1" w:rsidP="00081D3D">
      <w:pPr>
        <w:spacing w:after="0" w:line="240" w:lineRule="auto"/>
      </w:pPr>
      <w:r>
        <w:separator/>
      </w:r>
    </w:p>
  </w:endnote>
  <w:endnote w:type="continuationSeparator" w:id="0">
    <w:p w:rsidR="00112DC1" w:rsidRDefault="00112DC1" w:rsidP="000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C1" w:rsidRDefault="00112DC1" w:rsidP="00081D3D">
      <w:pPr>
        <w:spacing w:after="0" w:line="240" w:lineRule="auto"/>
      </w:pPr>
      <w:r>
        <w:separator/>
      </w:r>
    </w:p>
  </w:footnote>
  <w:footnote w:type="continuationSeparator" w:id="0">
    <w:p w:rsidR="00112DC1" w:rsidRDefault="00112DC1" w:rsidP="0008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45"/>
    <w:multiLevelType w:val="hybridMultilevel"/>
    <w:tmpl w:val="94DC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D"/>
    <w:rsid w:val="000206FC"/>
    <w:rsid w:val="000521D1"/>
    <w:rsid w:val="00081D3D"/>
    <w:rsid w:val="00082B84"/>
    <w:rsid w:val="00112DC1"/>
    <w:rsid w:val="00144821"/>
    <w:rsid w:val="00154E75"/>
    <w:rsid w:val="00370428"/>
    <w:rsid w:val="003D4EFA"/>
    <w:rsid w:val="003D74DC"/>
    <w:rsid w:val="0044474A"/>
    <w:rsid w:val="004713C0"/>
    <w:rsid w:val="0048599B"/>
    <w:rsid w:val="00502E34"/>
    <w:rsid w:val="00551534"/>
    <w:rsid w:val="005673F1"/>
    <w:rsid w:val="005B7288"/>
    <w:rsid w:val="006630C7"/>
    <w:rsid w:val="00742F42"/>
    <w:rsid w:val="00800C3B"/>
    <w:rsid w:val="0085114F"/>
    <w:rsid w:val="008E4102"/>
    <w:rsid w:val="00954EEB"/>
    <w:rsid w:val="0097337A"/>
    <w:rsid w:val="009D72E7"/>
    <w:rsid w:val="009E5F1D"/>
    <w:rsid w:val="00A310F0"/>
    <w:rsid w:val="00AC0082"/>
    <w:rsid w:val="00B162A1"/>
    <w:rsid w:val="00BA30C1"/>
    <w:rsid w:val="00C05E92"/>
    <w:rsid w:val="00C72614"/>
    <w:rsid w:val="00DE152A"/>
    <w:rsid w:val="00E4373D"/>
    <w:rsid w:val="00E44D8A"/>
    <w:rsid w:val="00E756A9"/>
    <w:rsid w:val="00EE575A"/>
    <w:rsid w:val="00F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3D"/>
  </w:style>
  <w:style w:type="paragraph" w:styleId="Footer">
    <w:name w:val="footer"/>
    <w:basedOn w:val="Normal"/>
    <w:link w:val="FooterChar"/>
    <w:uiPriority w:val="99"/>
    <w:unhideWhenUsed/>
    <w:rsid w:val="0008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3D"/>
  </w:style>
  <w:style w:type="paragraph" w:styleId="ListParagraph">
    <w:name w:val="List Paragraph"/>
    <w:basedOn w:val="Normal"/>
    <w:uiPriority w:val="34"/>
    <w:qFormat/>
    <w:rsid w:val="008E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3D"/>
  </w:style>
  <w:style w:type="paragraph" w:styleId="Footer">
    <w:name w:val="footer"/>
    <w:basedOn w:val="Normal"/>
    <w:link w:val="FooterChar"/>
    <w:uiPriority w:val="99"/>
    <w:unhideWhenUsed/>
    <w:rsid w:val="0008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3D"/>
  </w:style>
  <w:style w:type="paragraph" w:styleId="ListParagraph">
    <w:name w:val="List Paragraph"/>
    <w:basedOn w:val="Normal"/>
    <w:uiPriority w:val="34"/>
    <w:qFormat/>
    <w:rsid w:val="008E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9621-944E-4123-9D88-21324929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Ledina Memelli</dc:creator>
  <cp:lastModifiedBy>PC3</cp:lastModifiedBy>
  <cp:revision>13</cp:revision>
  <dcterms:created xsi:type="dcterms:W3CDTF">2022-11-21T10:22:00Z</dcterms:created>
  <dcterms:modified xsi:type="dcterms:W3CDTF">2022-12-09T10:06:00Z</dcterms:modified>
</cp:coreProperties>
</file>