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6E" w:rsidRPr="001778C4" w:rsidRDefault="00DD456E" w:rsidP="00DD456E">
      <w:pPr>
        <w:jc w:val="both"/>
        <w:rPr>
          <w:b/>
        </w:rPr>
      </w:pPr>
    </w:p>
    <w:p w:rsidR="00DD456E" w:rsidRPr="001778C4" w:rsidRDefault="00DD456E" w:rsidP="00DD456E">
      <w:pPr>
        <w:jc w:val="center"/>
        <w:rPr>
          <w:b/>
        </w:rPr>
      </w:pPr>
      <w:r w:rsidRPr="001778C4">
        <w:rPr>
          <w:b/>
        </w:rPr>
        <w:t>PROGRAMI I TRAJNIMIT P</w:t>
      </w:r>
      <w:r w:rsidR="00053AB9" w:rsidRPr="001778C4">
        <w:rPr>
          <w:b/>
        </w:rPr>
        <w:t>Ë</w:t>
      </w:r>
      <w:r w:rsidRPr="001778C4">
        <w:rPr>
          <w:b/>
        </w:rPr>
        <w:t>R PERSONELIN E BURGUT T</w:t>
      </w:r>
      <w:r w:rsidR="00053AB9" w:rsidRPr="001778C4">
        <w:rPr>
          <w:b/>
        </w:rPr>
        <w:t>Ë</w:t>
      </w:r>
      <w:r w:rsidRPr="001778C4">
        <w:rPr>
          <w:b/>
        </w:rPr>
        <w:t xml:space="preserve"> GRAVE</w:t>
      </w:r>
    </w:p>
    <w:p w:rsidR="00DD456E" w:rsidRPr="001778C4" w:rsidRDefault="00DD456E" w:rsidP="00DD456E">
      <w:pPr>
        <w:jc w:val="both"/>
      </w:pPr>
    </w:p>
    <w:p w:rsidR="003F51D1" w:rsidRPr="001778C4" w:rsidRDefault="00DD456E" w:rsidP="003F51D1">
      <w:pPr>
        <w:jc w:val="both"/>
        <w:rPr>
          <w:lang w:val="it-IT"/>
        </w:rPr>
      </w:pPr>
      <w:r w:rsidRPr="001778C4">
        <w:t>Programi i trajnimit t</w:t>
      </w:r>
      <w:r w:rsidR="00053AB9" w:rsidRPr="001778C4">
        <w:t>ë</w:t>
      </w:r>
      <w:r w:rsidRPr="001778C4">
        <w:t xml:space="preserve"> personelit q</w:t>
      </w:r>
      <w:r w:rsidR="00053AB9" w:rsidRPr="001778C4">
        <w:t>ë</w:t>
      </w:r>
      <w:r w:rsidRPr="001778C4">
        <w:t xml:space="preserve"> punon n</w:t>
      </w:r>
      <w:r w:rsidR="00053AB9" w:rsidRPr="001778C4">
        <w:t>ë</w:t>
      </w:r>
      <w:r w:rsidRPr="001778C4">
        <w:t xml:space="preserve"> burgun e grave  ka për qëllim ngritjen e kapaciteteve profesionale</w:t>
      </w:r>
      <w:r w:rsidR="003F51D1" w:rsidRPr="001778C4">
        <w:t xml:space="preserve"> dhe personale,</w:t>
      </w:r>
      <w:r w:rsidRPr="001778C4">
        <w:t xml:space="preserve"> për të përmbushur objektivat e trajtimit, mb</w:t>
      </w:r>
      <w:r w:rsidR="00053AB9" w:rsidRPr="001778C4">
        <w:t>ë</w:t>
      </w:r>
      <w:r w:rsidRPr="001778C4">
        <w:t>shtetjes dhe rehabilitimit t</w:t>
      </w:r>
      <w:r w:rsidR="00053AB9" w:rsidRPr="001778C4">
        <w:t>ë</w:t>
      </w:r>
      <w:r w:rsidRPr="001778C4">
        <w:t xml:space="preserve"> grave t</w:t>
      </w:r>
      <w:r w:rsidR="00053AB9" w:rsidRPr="001778C4">
        <w:t>ë</w:t>
      </w:r>
      <w:r w:rsidRPr="001778C4">
        <w:t xml:space="preserve"> d</w:t>
      </w:r>
      <w:r w:rsidR="00053AB9" w:rsidRPr="001778C4">
        <w:t>ë</w:t>
      </w:r>
      <w:r w:rsidRPr="001778C4">
        <w:t>nuara dhe n</w:t>
      </w:r>
      <w:r w:rsidR="00053AB9" w:rsidRPr="001778C4">
        <w:t>ë</w:t>
      </w:r>
      <w:r w:rsidRPr="001778C4">
        <w:t xml:space="preserve"> pritje t</w:t>
      </w:r>
      <w:r w:rsidR="00053AB9" w:rsidRPr="001778C4">
        <w:t>ë</w:t>
      </w:r>
      <w:r w:rsidRPr="001778C4">
        <w:t xml:space="preserve"> gjykimit.</w:t>
      </w:r>
      <w:r w:rsidR="003F51D1" w:rsidRPr="001778C4">
        <w:rPr>
          <w:lang w:val="ru-RU"/>
        </w:rPr>
        <w:t xml:space="preserve"> Rekomandimi i </w:t>
      </w:r>
      <w:r w:rsidR="003F51D1" w:rsidRPr="001778C4">
        <w:rPr>
          <w:lang w:val="it-IT"/>
        </w:rPr>
        <w:t>K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shillit 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</w:t>
      </w:r>
      <w:r w:rsidR="003F51D1" w:rsidRPr="001778C4">
        <w:rPr>
          <w:lang w:val="it-IT"/>
        </w:rPr>
        <w:t>E</w:t>
      </w:r>
      <w:r w:rsidR="003F51D1" w:rsidRPr="001778C4">
        <w:rPr>
          <w:lang w:val="ru-RU"/>
        </w:rPr>
        <w:t>urop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s</w:t>
      </w:r>
      <w:r w:rsidR="003F51D1" w:rsidRPr="001778C4">
        <w:rPr>
          <w:lang w:val="en-GB"/>
        </w:rPr>
        <w:t xml:space="preserve"> 2006(2) </w:t>
      </w:r>
      <w:r w:rsidR="003F51D1" w:rsidRPr="001778C4">
        <w:rPr>
          <w:lang w:val="ru-RU"/>
        </w:rPr>
        <w:t xml:space="preserve"> mbi rregullat e burgjeve p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rcakton se nj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burg duhet 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menaxhohet n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nj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kontekst etik i cili njeh detyrimin p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r ti trajtuar 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gjith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burgosurit me humanizem dhe respekt </w:t>
      </w:r>
      <w:r w:rsidR="003F51D1" w:rsidRPr="001778C4">
        <w:rPr>
          <w:lang w:val="it-IT"/>
        </w:rPr>
        <w:t>ndaj</w:t>
      </w:r>
      <w:r w:rsidR="003F51D1" w:rsidRPr="001778C4">
        <w:rPr>
          <w:lang w:val="ru-RU"/>
        </w:rPr>
        <w:t xml:space="preserve"> dinjitetit njer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zor. P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r m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tep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r, stafi i burgjeve duhet 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funksionoj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me standarte 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larta profesionale dhe personale.</w:t>
      </w:r>
      <w:r w:rsidR="003F51D1" w:rsidRPr="001778C4">
        <w:rPr>
          <w:lang w:val="en-GB"/>
        </w:rPr>
        <w:t xml:space="preserve"> </w:t>
      </w:r>
      <w:r w:rsidR="003F51D1" w:rsidRPr="001778C4">
        <w:rPr>
          <w:lang w:val="ru-RU"/>
        </w:rPr>
        <w:t>P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r k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q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llim, menaxhimi i burgjeve duhet te siguroj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q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n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p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rmjet karrier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s s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tyre, i gjithe stafi 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mbajn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dhe p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rmir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>sojn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njohurit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dhe kapacitetet e tyre profesionale, duke ndjekur kurse n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sh</w:t>
      </w:r>
      <w:r w:rsidR="00F82FE7" w:rsidRPr="001778C4">
        <w:rPr>
          <w:lang w:val="en-GB"/>
        </w:rPr>
        <w:t>ë</w:t>
      </w:r>
      <w:r w:rsidR="003F51D1" w:rsidRPr="001778C4">
        <w:rPr>
          <w:lang w:val="ru-RU"/>
        </w:rPr>
        <w:t>rbim t</w:t>
      </w:r>
      <w:r w:rsidR="00053AB9" w:rsidRPr="001778C4">
        <w:rPr>
          <w:lang w:val="en-GB"/>
        </w:rPr>
        <w:t>ë</w:t>
      </w:r>
      <w:r w:rsidR="003F51D1" w:rsidRPr="001778C4">
        <w:rPr>
          <w:lang w:val="ru-RU"/>
        </w:rPr>
        <w:t xml:space="preserve"> trajnimit dhe zhvillimit. Trajnimet për të gjithë stafin duhet  të përfshijnë standartet dhe udhëzime</w:t>
      </w:r>
      <w:r w:rsidR="003F51D1" w:rsidRPr="001778C4">
        <w:rPr>
          <w:lang w:val="it-IT"/>
        </w:rPr>
        <w:t>t</w:t>
      </w:r>
      <w:r w:rsidR="003F51D1" w:rsidRPr="001778C4">
        <w:rPr>
          <w:lang w:val="ru-RU"/>
        </w:rPr>
        <w:t xml:space="preserve"> mbi të drejtat ndërkombëtare dhe rajonale të njeriut</w:t>
      </w:r>
      <w:r w:rsidR="003F51D1" w:rsidRPr="001778C4">
        <w:rPr>
          <w:lang w:val="it-IT"/>
        </w:rPr>
        <w:t>.</w:t>
      </w:r>
    </w:p>
    <w:p w:rsidR="003F51D1" w:rsidRPr="001778C4" w:rsidRDefault="003F51D1" w:rsidP="003F51D1">
      <w:pPr>
        <w:jc w:val="both"/>
        <w:rPr>
          <w:lang w:val="ru-RU"/>
        </w:rPr>
      </w:pPr>
      <w:r w:rsidRPr="001778C4">
        <w:rPr>
          <w:lang w:val="ru-RU"/>
        </w:rPr>
        <w:t>Nga ana tjetër, Rezoluta e Parlamentit Europian mbi situatën e veçantë të grave në burg</w:t>
      </w:r>
      <w:r w:rsidR="00F82FE7" w:rsidRPr="001778C4">
        <w:rPr>
          <w:lang w:val="en-GB"/>
        </w:rPr>
        <w:t>je</w:t>
      </w:r>
      <w:r w:rsidRPr="001778C4">
        <w:rPr>
          <w:lang w:val="ru-RU"/>
        </w:rPr>
        <w:t xml:space="preserve"> dhe ndikimin e burgimit të prindërve</w:t>
      </w:r>
      <w:r w:rsidR="00F82FE7" w:rsidRPr="001778C4">
        <w:rPr>
          <w:lang w:val="en-GB"/>
        </w:rPr>
        <w:t>,</w:t>
      </w:r>
      <w:r w:rsidRPr="001778C4">
        <w:rPr>
          <w:lang w:val="ru-RU"/>
        </w:rPr>
        <w:t xml:space="preserve"> në jetën sociale dhe familjare thekson faktin se stafi i burgjeve duhet të trajnohet në mënyrë te p</w:t>
      </w:r>
      <w:r w:rsidR="00053AB9" w:rsidRPr="001778C4">
        <w:rPr>
          <w:lang w:val="en-GB"/>
        </w:rPr>
        <w:t>ë</w:t>
      </w:r>
      <w:r w:rsidRPr="001778C4">
        <w:rPr>
          <w:lang w:val="ru-RU"/>
        </w:rPr>
        <w:t>rshtatshme dhe t</w:t>
      </w:r>
      <w:r w:rsidR="00053AB9" w:rsidRPr="001778C4">
        <w:rPr>
          <w:lang w:val="en-GB"/>
        </w:rPr>
        <w:t>ë</w:t>
      </w:r>
      <w:r w:rsidRPr="001778C4">
        <w:rPr>
          <w:lang w:val="ru-RU"/>
        </w:rPr>
        <w:t xml:space="preserve"> ket</w:t>
      </w:r>
      <w:r w:rsidR="00053AB9" w:rsidRPr="001778C4">
        <w:rPr>
          <w:lang w:val="en-GB"/>
        </w:rPr>
        <w:t>ë</w:t>
      </w:r>
      <w:r w:rsidRPr="001778C4">
        <w:rPr>
          <w:lang w:val="ru-RU"/>
        </w:rPr>
        <w:t xml:space="preserve"> vetëdijen e mjaftueshme sa i përket mundësive të barabarta dhe nevojave specifike si </w:t>
      </w:r>
      <w:r w:rsidR="00F82FE7" w:rsidRPr="001778C4">
        <w:rPr>
          <w:lang w:val="en-GB"/>
        </w:rPr>
        <w:t>të</w:t>
      </w:r>
      <w:r w:rsidRPr="001778C4">
        <w:rPr>
          <w:lang w:val="ru-RU"/>
        </w:rPr>
        <w:t xml:space="preserve"> grave të burgosura.</w:t>
      </w:r>
    </w:p>
    <w:p w:rsidR="00DD456E" w:rsidRPr="001778C4" w:rsidRDefault="00DD456E" w:rsidP="00DD456E">
      <w:pPr>
        <w:jc w:val="both"/>
      </w:pPr>
      <w:r w:rsidRPr="001778C4">
        <w:t xml:space="preserve"> Krahas temave baz</w:t>
      </w:r>
      <w:r w:rsidR="00053AB9" w:rsidRPr="001778C4">
        <w:t>ë</w:t>
      </w:r>
      <w:r w:rsidRPr="001778C4">
        <w:t>, program</w:t>
      </w:r>
      <w:r w:rsidR="00F82FE7" w:rsidRPr="001778C4">
        <w:t>i</w:t>
      </w:r>
      <w:r w:rsidRPr="001778C4">
        <w:t xml:space="preserve"> </w:t>
      </w:r>
      <w:r w:rsidR="00053AB9" w:rsidRPr="001778C4">
        <w:t>ë</w:t>
      </w:r>
      <w:r w:rsidRPr="001778C4">
        <w:t>sht</w:t>
      </w:r>
      <w:r w:rsidR="00053AB9" w:rsidRPr="001778C4">
        <w:t>ë</w:t>
      </w:r>
      <w:r w:rsidRPr="001778C4">
        <w:t xml:space="preserve"> i p</w:t>
      </w:r>
      <w:r w:rsidR="00053AB9" w:rsidRPr="001778C4">
        <w:t>ë</w:t>
      </w:r>
      <w:r w:rsidRPr="001778C4">
        <w:t>rdit</w:t>
      </w:r>
      <w:r w:rsidR="00053AB9" w:rsidRPr="001778C4">
        <w:t>ë</w:t>
      </w:r>
      <w:r w:rsidRPr="001778C4">
        <w:t>suar me informacion t</w:t>
      </w:r>
      <w:r w:rsidR="00053AB9" w:rsidRPr="001778C4">
        <w:t>ë</w:t>
      </w:r>
      <w:r w:rsidRPr="001778C4">
        <w:t xml:space="preserve"> ri, si ndryshimet n</w:t>
      </w:r>
      <w:r w:rsidR="00053AB9" w:rsidRPr="001778C4">
        <w:t>ë</w:t>
      </w:r>
      <w:r w:rsidRPr="001778C4">
        <w:t xml:space="preserve"> ligjet p</w:t>
      </w:r>
      <w:r w:rsidR="00053AB9" w:rsidRPr="001778C4">
        <w:t>ë</w:t>
      </w:r>
      <w:r w:rsidRPr="001778C4">
        <w:t>r administrimin e drejt</w:t>
      </w:r>
      <w:r w:rsidR="00053AB9" w:rsidRPr="001778C4">
        <w:t>ë</w:t>
      </w:r>
      <w:r w:rsidRPr="001778C4">
        <w:t>sis</w:t>
      </w:r>
      <w:r w:rsidR="00053AB9" w:rsidRPr="001778C4">
        <w:t>ë</w:t>
      </w:r>
      <w:r w:rsidRPr="001778C4">
        <w:t xml:space="preserve"> p</w:t>
      </w:r>
      <w:r w:rsidR="00053AB9" w:rsidRPr="001778C4">
        <w:t>ë</w:t>
      </w:r>
      <w:r w:rsidRPr="001778C4">
        <w:t>r grat</w:t>
      </w:r>
      <w:r w:rsidR="00053AB9" w:rsidRPr="001778C4">
        <w:t>ë</w:t>
      </w:r>
      <w:r w:rsidRPr="001778C4">
        <w:t xml:space="preserve"> dhe rekomandimet e organizatave t</w:t>
      </w:r>
      <w:r w:rsidR="00053AB9" w:rsidRPr="001778C4">
        <w:t>ë</w:t>
      </w:r>
      <w:r w:rsidRPr="001778C4">
        <w:t xml:space="preserve"> pavarura monitoruese t</w:t>
      </w:r>
      <w:r w:rsidR="00053AB9" w:rsidRPr="001778C4">
        <w:t>ë</w:t>
      </w:r>
      <w:r w:rsidRPr="001778C4">
        <w:t xml:space="preserve"> sistemit t</w:t>
      </w:r>
      <w:r w:rsidR="00053AB9" w:rsidRPr="001778C4">
        <w:t>ë</w:t>
      </w:r>
      <w:r w:rsidRPr="001778C4">
        <w:t xml:space="preserve"> burgjeve dhe paraburgimeve t</w:t>
      </w:r>
      <w:r w:rsidR="00053AB9" w:rsidRPr="001778C4">
        <w:t>ë</w:t>
      </w:r>
      <w:r w:rsidRPr="001778C4">
        <w:t xml:space="preserve"> koh</w:t>
      </w:r>
      <w:r w:rsidR="00053AB9" w:rsidRPr="001778C4">
        <w:t>ë</w:t>
      </w:r>
      <w:r w:rsidRPr="001778C4">
        <w:t>ve t</w:t>
      </w:r>
      <w:r w:rsidR="00053AB9" w:rsidRPr="001778C4">
        <w:t>ë</w:t>
      </w:r>
      <w:r w:rsidRPr="001778C4">
        <w:t xml:space="preserve"> fundit. Gjat</w:t>
      </w:r>
      <w:r w:rsidR="00053AB9" w:rsidRPr="001778C4">
        <w:t>ë</w:t>
      </w:r>
      <w:r w:rsidRPr="001778C4">
        <w:t xml:space="preserve"> trajnimeve, programi do t</w:t>
      </w:r>
      <w:r w:rsidR="00053AB9" w:rsidRPr="001778C4">
        <w:t>ë</w:t>
      </w:r>
      <w:r w:rsidRPr="001778C4">
        <w:t xml:space="preserve"> p</w:t>
      </w:r>
      <w:r w:rsidR="00053AB9" w:rsidRPr="001778C4">
        <w:t>ë</w:t>
      </w:r>
      <w:r w:rsidRPr="001778C4">
        <w:t>rmir</w:t>
      </w:r>
      <w:r w:rsidR="00053AB9" w:rsidRPr="001778C4">
        <w:t>ë</w:t>
      </w:r>
      <w:r w:rsidRPr="001778C4">
        <w:t>sohet dhe p</w:t>
      </w:r>
      <w:r w:rsidR="00053AB9" w:rsidRPr="001778C4">
        <w:t>ë</w:t>
      </w:r>
      <w:r w:rsidRPr="001778C4">
        <w:t>rshtatet vazhdimisht sipas nevojave t</w:t>
      </w:r>
      <w:r w:rsidR="00053AB9" w:rsidRPr="001778C4">
        <w:t>ë</w:t>
      </w:r>
      <w:r w:rsidRPr="001778C4">
        <w:t xml:space="preserve"> stafit dhe  </w:t>
      </w:r>
      <w:r w:rsidR="00BA579A" w:rsidRPr="001778C4">
        <w:t>p</w:t>
      </w:r>
      <w:r w:rsidR="00053AB9" w:rsidRPr="001778C4">
        <w:t>ë</w:t>
      </w:r>
      <w:r w:rsidR="00BA579A" w:rsidRPr="001778C4">
        <w:t>rformanc</w:t>
      </w:r>
      <w:r w:rsidR="00053AB9" w:rsidRPr="001778C4">
        <w:t>ë</w:t>
      </w:r>
      <w:r w:rsidR="00BA579A" w:rsidRPr="001778C4">
        <w:t>s s</w:t>
      </w:r>
      <w:r w:rsidR="00053AB9" w:rsidRPr="001778C4">
        <w:t>ë</w:t>
      </w:r>
      <w:r w:rsidR="00BA579A" w:rsidRPr="001778C4">
        <w:t xml:space="preserve"> institucionit.</w:t>
      </w:r>
    </w:p>
    <w:p w:rsidR="00DD456E" w:rsidRPr="001778C4" w:rsidRDefault="00DD456E" w:rsidP="00DD456E">
      <w:pPr>
        <w:jc w:val="both"/>
      </w:pPr>
      <w:r w:rsidRPr="001778C4">
        <w:t>Linjat kryesore të programit, janë sipas tabelës që vijon:</w:t>
      </w:r>
    </w:p>
    <w:p w:rsidR="00DD456E" w:rsidRPr="001778C4" w:rsidRDefault="00DD456E" w:rsidP="00DD456E">
      <w:pPr>
        <w:jc w:val="both"/>
      </w:pPr>
    </w:p>
    <w:p w:rsidR="00493656" w:rsidRPr="001778C4" w:rsidRDefault="00493656" w:rsidP="00DD456E">
      <w:pPr>
        <w:jc w:val="both"/>
      </w:pPr>
    </w:p>
    <w:p w:rsidR="00DD456E" w:rsidRPr="001778C4" w:rsidRDefault="00DD456E" w:rsidP="00DD456E">
      <w:pPr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712"/>
        <w:gridCol w:w="7361"/>
        <w:gridCol w:w="1061"/>
      </w:tblGrid>
      <w:tr w:rsidR="00DD456E" w:rsidRPr="001778C4" w:rsidTr="00081B13">
        <w:tc>
          <w:tcPr>
            <w:tcW w:w="712" w:type="dxa"/>
          </w:tcPr>
          <w:p w:rsidR="00DD456E" w:rsidRPr="001778C4" w:rsidRDefault="00DD456E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Nr.</w:t>
            </w:r>
          </w:p>
        </w:tc>
        <w:tc>
          <w:tcPr>
            <w:tcW w:w="7361" w:type="dxa"/>
          </w:tcPr>
          <w:p w:rsidR="00DD456E" w:rsidRPr="001778C4" w:rsidRDefault="00DD456E" w:rsidP="00081B13">
            <w:pPr>
              <w:jc w:val="center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Te</w:t>
            </w:r>
            <w:r w:rsidR="004871A3" w:rsidRPr="001778C4">
              <w:rPr>
                <w:b/>
                <w:lang w:val="sq-AL"/>
              </w:rPr>
              <w:t>ma</w:t>
            </w:r>
          </w:p>
        </w:tc>
        <w:tc>
          <w:tcPr>
            <w:tcW w:w="1061" w:type="dxa"/>
          </w:tcPr>
          <w:p w:rsidR="00DD456E" w:rsidRPr="001778C4" w:rsidRDefault="00DD456E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Orët</w:t>
            </w:r>
          </w:p>
        </w:tc>
      </w:tr>
      <w:tr w:rsidR="00DD456E" w:rsidRPr="001778C4" w:rsidTr="00081B13">
        <w:tc>
          <w:tcPr>
            <w:tcW w:w="712" w:type="dxa"/>
          </w:tcPr>
          <w:p w:rsidR="00DD456E" w:rsidRPr="001778C4" w:rsidRDefault="00DD456E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1.</w:t>
            </w:r>
          </w:p>
        </w:tc>
        <w:tc>
          <w:tcPr>
            <w:tcW w:w="7361" w:type="dxa"/>
          </w:tcPr>
          <w:p w:rsidR="003F51D1" w:rsidRPr="001778C4" w:rsidRDefault="003F51D1" w:rsidP="004871A3">
            <w:pPr>
              <w:rPr>
                <w:rFonts w:eastAsia="AGaramondPro-Regular"/>
                <w:b/>
                <w:lang w:val="sq-AL"/>
              </w:rPr>
            </w:pPr>
            <w:r w:rsidRPr="001778C4">
              <w:rPr>
                <w:rFonts w:eastAsia="AGaramondPro-Regular"/>
                <w:b/>
                <w:lang w:val="sq-AL"/>
              </w:rPr>
              <w:t>Iniciativat kryesore nd</w:t>
            </w:r>
            <w:r w:rsidR="00053AB9" w:rsidRPr="001778C4">
              <w:rPr>
                <w:rFonts w:eastAsia="AGaramondPro-Regular"/>
                <w:b/>
                <w:lang w:val="sq-AL"/>
              </w:rPr>
              <w:t>ë</w:t>
            </w:r>
            <w:r w:rsidRPr="001778C4">
              <w:rPr>
                <w:rFonts w:eastAsia="AGaramondPro-Regular"/>
                <w:b/>
                <w:lang w:val="sq-AL"/>
              </w:rPr>
              <w:t>rkomb</w:t>
            </w:r>
            <w:r w:rsidR="00053AB9" w:rsidRPr="001778C4">
              <w:rPr>
                <w:rFonts w:eastAsia="AGaramondPro-Regular"/>
                <w:b/>
                <w:lang w:val="sq-AL"/>
              </w:rPr>
              <w:t>ë</w:t>
            </w:r>
            <w:r w:rsidRPr="001778C4">
              <w:rPr>
                <w:rFonts w:eastAsia="AGaramondPro-Regular"/>
                <w:b/>
                <w:lang w:val="sq-AL"/>
              </w:rPr>
              <w:t>tare p</w:t>
            </w:r>
            <w:r w:rsidR="00053AB9" w:rsidRPr="001778C4">
              <w:rPr>
                <w:rFonts w:eastAsia="AGaramondPro-Regular"/>
                <w:b/>
                <w:lang w:val="sq-AL"/>
              </w:rPr>
              <w:t>ë</w:t>
            </w:r>
            <w:r w:rsidRPr="001778C4">
              <w:rPr>
                <w:rFonts w:eastAsia="AGaramondPro-Regular"/>
                <w:b/>
                <w:lang w:val="sq-AL"/>
              </w:rPr>
              <w:t>r mbrojtjen e t</w:t>
            </w:r>
            <w:r w:rsidR="00053AB9" w:rsidRPr="001778C4">
              <w:rPr>
                <w:rFonts w:eastAsia="AGaramondPro-Regular"/>
                <w:b/>
                <w:lang w:val="sq-AL"/>
              </w:rPr>
              <w:t>ë</w:t>
            </w:r>
            <w:r w:rsidRPr="001778C4">
              <w:rPr>
                <w:rFonts w:eastAsia="AGaramondPro-Regular"/>
                <w:b/>
                <w:lang w:val="sq-AL"/>
              </w:rPr>
              <w:t xml:space="preserve"> drejtave t</w:t>
            </w:r>
            <w:r w:rsidR="00053AB9" w:rsidRPr="001778C4">
              <w:rPr>
                <w:rFonts w:eastAsia="AGaramondPro-Regular"/>
                <w:b/>
                <w:lang w:val="sq-AL"/>
              </w:rPr>
              <w:t>ë</w:t>
            </w:r>
            <w:r w:rsidRPr="001778C4">
              <w:rPr>
                <w:rFonts w:eastAsia="AGaramondPro-Regular"/>
                <w:b/>
                <w:lang w:val="sq-AL"/>
              </w:rPr>
              <w:t xml:space="preserve"> grave.</w:t>
            </w:r>
          </w:p>
          <w:p w:rsidR="00DD456E" w:rsidRPr="001778C4" w:rsidRDefault="003F51D1" w:rsidP="003F51D1">
            <w:pPr>
              <w:pStyle w:val="ListParagraph"/>
              <w:numPr>
                <w:ilvl w:val="0"/>
                <w:numId w:val="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</w:rPr>
              <w:t>Deklarata Universale për të Drejtat e Njeriut (UDHR)</w:t>
            </w:r>
          </w:p>
          <w:p w:rsidR="003F51D1" w:rsidRPr="001778C4" w:rsidRDefault="003F51D1" w:rsidP="003F51D1">
            <w:pPr>
              <w:pStyle w:val="ListParagraph"/>
              <w:numPr>
                <w:ilvl w:val="0"/>
                <w:numId w:val="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</w:rPr>
              <w:t>Konventa e OKB mbi eliminimin e të gjitha formave të diskriminimit kundër gruas</w:t>
            </w:r>
            <w:r w:rsidR="00D73F6F" w:rsidRPr="001778C4">
              <w:rPr>
                <w:sz w:val="24"/>
                <w:szCs w:val="24"/>
              </w:rPr>
              <w:t xml:space="preserve"> (1979).</w:t>
            </w:r>
          </w:p>
          <w:p w:rsidR="00D73F6F" w:rsidRPr="001778C4" w:rsidRDefault="00D73F6F" w:rsidP="00D73F6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Deklarat</w:t>
            </w:r>
            <w:r w:rsidR="00F82FE7" w:rsidRPr="001778C4">
              <w:rPr>
                <w:sz w:val="24"/>
                <w:szCs w:val="24"/>
              </w:rPr>
              <w:t>a</w:t>
            </w:r>
            <w:r w:rsidRPr="001778C4">
              <w:rPr>
                <w:sz w:val="24"/>
                <w:szCs w:val="24"/>
              </w:rPr>
              <w:t xml:space="preserve"> </w:t>
            </w:r>
            <w:r w:rsidR="00F82FE7" w:rsidRPr="001778C4">
              <w:rPr>
                <w:sz w:val="24"/>
                <w:szCs w:val="24"/>
              </w:rPr>
              <w:t>e</w:t>
            </w:r>
            <w:r w:rsidRPr="001778C4">
              <w:rPr>
                <w:sz w:val="24"/>
                <w:szCs w:val="24"/>
              </w:rPr>
              <w:t xml:space="preserve"> KB mbi eliminimin e dhunës kundër grave (1993). Konferenca e Pekinit mbi dhunën kundër grave (1995)</w:t>
            </w:r>
          </w:p>
          <w:p w:rsidR="009E75FB" w:rsidRPr="001778C4" w:rsidRDefault="009E75FB" w:rsidP="00D73F6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778C4">
              <w:rPr>
                <w:color w:val="000000"/>
                <w:sz w:val="24"/>
                <w:szCs w:val="24"/>
                <w:shd w:val="clear" w:color="auto" w:fill="FFFFFF"/>
              </w:rPr>
              <w:t>Rregullat e UN per trajtimin e grave te burgosura dhe masat e tjera jo me burgim per grate ne konflikt me ligjin (rregullat e Bankokut) miratuar nga Ansambleja e Pergjithshme e UN ne vitin 2010</w:t>
            </w:r>
          </w:p>
          <w:p w:rsidR="003F51D1" w:rsidRPr="001778C4" w:rsidRDefault="00D73F6F" w:rsidP="00D73F6F">
            <w:pPr>
              <w:pStyle w:val="ListParagraph"/>
              <w:numPr>
                <w:ilvl w:val="0"/>
                <w:numId w:val="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</w:rPr>
              <w:t>Iniciativat kryesore të Këshillit të Evropës  dhe t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 xml:space="preserve"> BE</w:t>
            </w:r>
          </w:p>
          <w:p w:rsidR="00D73F6F" w:rsidRPr="001778C4" w:rsidRDefault="00D73F6F" w:rsidP="00D73F6F">
            <w:pPr>
              <w:pStyle w:val="ListParagraph"/>
              <w:numPr>
                <w:ilvl w:val="1"/>
                <w:numId w:val="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</w:rPr>
              <w:t>Konferenca Ministrore Europiane mbi barazinë midis grave dhe burrave</w:t>
            </w:r>
          </w:p>
          <w:p w:rsidR="00D73F6F" w:rsidRPr="001778C4" w:rsidRDefault="00D73F6F" w:rsidP="00D73F6F">
            <w:pPr>
              <w:pStyle w:val="ListParagraph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  <w:r w:rsidRPr="001778C4">
              <w:rPr>
                <w:sz w:val="24"/>
                <w:szCs w:val="24"/>
              </w:rPr>
              <w:t>Rekomandimi (2002) 5 i Komitetit të Ministrave për Shtetet anëtare mbi Mbrojtjen e grave ndaj dhunës</w:t>
            </w:r>
            <w:r w:rsidR="00C60781" w:rsidRPr="001778C4">
              <w:rPr>
                <w:sz w:val="24"/>
                <w:szCs w:val="24"/>
              </w:rPr>
              <w:t>.</w:t>
            </w:r>
          </w:p>
          <w:p w:rsidR="00D73F6F" w:rsidRPr="001778C4" w:rsidRDefault="00D73F6F" w:rsidP="00D73F6F">
            <w:pPr>
              <w:pStyle w:val="ListParagraph"/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Rezoluta e Parlamentit Evropian mbi situatën e grave në burg</w:t>
            </w:r>
            <w:r w:rsidR="00F82FE7" w:rsidRPr="001778C4">
              <w:rPr>
                <w:sz w:val="24"/>
                <w:szCs w:val="24"/>
              </w:rPr>
              <w:t>je</w:t>
            </w:r>
            <w:r w:rsidRPr="001778C4">
              <w:rPr>
                <w:sz w:val="24"/>
                <w:szCs w:val="24"/>
              </w:rPr>
              <w:t xml:space="preserve"> dhe ndikimi i burgosjes s</w:t>
            </w:r>
            <w:r w:rsidR="00F82FE7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 xml:space="preserve"> prindërve në jetën sociale dhe familjare (2008</w:t>
            </w:r>
            <w:r w:rsidR="00F82FE7" w:rsidRPr="001778C4">
              <w:rPr>
                <w:sz w:val="24"/>
                <w:szCs w:val="24"/>
              </w:rPr>
              <w:t>)</w:t>
            </w:r>
          </w:p>
          <w:p w:rsidR="00D73F6F" w:rsidRPr="001778C4" w:rsidRDefault="00D73F6F" w:rsidP="00D73F6F">
            <w:pPr>
              <w:jc w:val="both"/>
            </w:pPr>
            <w:r w:rsidRPr="001778C4">
              <w:t> </w:t>
            </w:r>
          </w:p>
          <w:p w:rsidR="00D73F6F" w:rsidRPr="001778C4" w:rsidRDefault="00D73F6F" w:rsidP="00D73F6F">
            <w:pPr>
              <w:pStyle w:val="ListParagraph"/>
              <w:ind w:left="770"/>
              <w:rPr>
                <w:rFonts w:eastAsia="AGaramondPro-Regular"/>
                <w:sz w:val="24"/>
                <w:szCs w:val="24"/>
                <w:lang w:val="sq-AL"/>
              </w:rPr>
            </w:pPr>
          </w:p>
        </w:tc>
        <w:tc>
          <w:tcPr>
            <w:tcW w:w="1061" w:type="dxa"/>
          </w:tcPr>
          <w:p w:rsidR="00DD456E" w:rsidRPr="001778C4" w:rsidRDefault="0001571D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lastRenderedPageBreak/>
              <w:t>4</w:t>
            </w:r>
          </w:p>
        </w:tc>
      </w:tr>
      <w:tr w:rsidR="00DD456E" w:rsidRPr="001778C4" w:rsidTr="00081B13">
        <w:trPr>
          <w:trHeight w:val="3410"/>
        </w:trPr>
        <w:tc>
          <w:tcPr>
            <w:tcW w:w="712" w:type="dxa"/>
          </w:tcPr>
          <w:p w:rsidR="00DD456E" w:rsidRPr="001778C4" w:rsidRDefault="00DD456E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lastRenderedPageBreak/>
              <w:t>2.</w:t>
            </w:r>
          </w:p>
        </w:tc>
        <w:tc>
          <w:tcPr>
            <w:tcW w:w="7361" w:type="dxa"/>
          </w:tcPr>
          <w:p w:rsidR="00DD456E" w:rsidRPr="001778C4" w:rsidRDefault="002A679B" w:rsidP="00F82FE7">
            <w:pPr>
              <w:jc w:val="both"/>
              <w:rPr>
                <w:b/>
              </w:rPr>
            </w:pPr>
            <w:r w:rsidRPr="001778C4">
              <w:rPr>
                <w:b/>
              </w:rPr>
              <w:t>T</w:t>
            </w:r>
            <w:r w:rsidR="00053AB9" w:rsidRPr="001778C4">
              <w:rPr>
                <w:b/>
              </w:rPr>
              <w:t>ë</w:t>
            </w:r>
            <w:r w:rsidRPr="001778C4">
              <w:rPr>
                <w:b/>
              </w:rPr>
              <w:t xml:space="preserve"> drejtat e grave n</w:t>
            </w:r>
            <w:r w:rsidR="00053AB9" w:rsidRPr="001778C4">
              <w:rPr>
                <w:b/>
              </w:rPr>
              <w:t>ë</w:t>
            </w:r>
            <w:r w:rsidRPr="001778C4">
              <w:rPr>
                <w:b/>
              </w:rPr>
              <w:t xml:space="preserve"> konflikt me ligjin n</w:t>
            </w:r>
            <w:r w:rsidR="00053AB9" w:rsidRPr="001778C4">
              <w:rPr>
                <w:b/>
              </w:rPr>
              <w:t>ë</w:t>
            </w:r>
            <w:r w:rsidRPr="001778C4">
              <w:rPr>
                <w:b/>
              </w:rPr>
              <w:t xml:space="preserve"> legjislacionin e Shqip</w:t>
            </w:r>
            <w:r w:rsidR="00053AB9" w:rsidRPr="001778C4">
              <w:rPr>
                <w:b/>
              </w:rPr>
              <w:t>ë</w:t>
            </w:r>
            <w:r w:rsidRPr="001778C4">
              <w:rPr>
                <w:b/>
              </w:rPr>
              <w:t>ris</w:t>
            </w:r>
            <w:r w:rsidR="00053AB9" w:rsidRPr="001778C4">
              <w:rPr>
                <w:b/>
              </w:rPr>
              <w:t>ë</w:t>
            </w:r>
            <w:r w:rsidRPr="001778C4">
              <w:rPr>
                <w:b/>
              </w:rPr>
              <w:t>.</w:t>
            </w:r>
          </w:p>
          <w:p w:rsidR="00DD456E" w:rsidRPr="001778C4" w:rsidRDefault="002A679B" w:rsidP="00F82FE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drejtat dhe lirit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themelore 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sanksionuara n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Kushtetut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n e Republik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s s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Shqip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ris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.</w:t>
            </w:r>
            <w:r w:rsidR="00DD456E" w:rsidRPr="001778C4">
              <w:rPr>
                <w:sz w:val="24"/>
                <w:szCs w:val="24"/>
                <w:lang w:val="sq-AL"/>
              </w:rPr>
              <w:tab/>
              <w:t xml:space="preserve"> </w:t>
            </w:r>
          </w:p>
          <w:p w:rsidR="00246A02" w:rsidRPr="001778C4" w:rsidRDefault="00246A02" w:rsidP="00F82FE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Pozita e gruas n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konflikt me ligjin n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Kodi penal dhe Kodi i Procedur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s penale</w:t>
            </w:r>
            <w:r w:rsidR="00DD456E" w:rsidRPr="001778C4">
              <w:rPr>
                <w:sz w:val="24"/>
                <w:szCs w:val="24"/>
                <w:lang w:val="sq-AL"/>
              </w:rPr>
              <w:t>.</w:t>
            </w:r>
            <w:r w:rsidR="00C60781" w:rsidRPr="001778C4">
              <w:rPr>
                <w:sz w:val="24"/>
                <w:szCs w:val="24"/>
                <w:lang w:val="sq-AL"/>
              </w:rPr>
              <w:t xml:space="preserve"> Ndryshimet p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="00C60781" w:rsidRPr="001778C4">
              <w:rPr>
                <w:sz w:val="24"/>
                <w:szCs w:val="24"/>
                <w:lang w:val="sq-AL"/>
              </w:rPr>
              <w:t>r dhun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="00C60781" w:rsidRPr="001778C4">
              <w:rPr>
                <w:sz w:val="24"/>
                <w:szCs w:val="24"/>
                <w:lang w:val="sq-AL"/>
              </w:rPr>
              <w:t xml:space="preserve"> gjinore.</w:t>
            </w:r>
          </w:p>
          <w:p w:rsidR="00DD456E" w:rsidRPr="001778C4" w:rsidRDefault="00246A02" w:rsidP="00F82FE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drejtat e grave 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d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nuara dhe paraburgosura, 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parashikuara n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Ligjin nr.8328, dat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16.04.1998, i ndryshuar “Mbi 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drejtat dhe trajtimin e 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d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nuarve me burgim</w:t>
            </w:r>
            <w:r w:rsidR="00F82FE7" w:rsidRPr="001778C4">
              <w:rPr>
                <w:sz w:val="24"/>
                <w:szCs w:val="24"/>
                <w:lang w:val="sq-AL"/>
              </w:rPr>
              <w:t>.</w:t>
            </w:r>
            <w:r w:rsidR="00DD456E" w:rsidRPr="001778C4">
              <w:rPr>
                <w:sz w:val="24"/>
                <w:szCs w:val="24"/>
                <w:lang w:val="sq-AL"/>
              </w:rPr>
              <w:tab/>
            </w:r>
            <w:r w:rsidR="00DD456E" w:rsidRPr="001778C4">
              <w:rPr>
                <w:sz w:val="24"/>
                <w:szCs w:val="24"/>
                <w:lang w:val="sq-AL"/>
              </w:rPr>
              <w:tab/>
            </w:r>
            <w:r w:rsidR="00DD456E" w:rsidRPr="001778C4">
              <w:rPr>
                <w:sz w:val="24"/>
                <w:szCs w:val="24"/>
                <w:lang w:val="sq-AL"/>
              </w:rPr>
              <w:tab/>
            </w:r>
            <w:r w:rsidR="00DD456E" w:rsidRPr="001778C4">
              <w:rPr>
                <w:sz w:val="24"/>
                <w:szCs w:val="24"/>
                <w:lang w:val="sq-AL"/>
              </w:rPr>
              <w:tab/>
            </w:r>
            <w:r w:rsidR="00DD456E" w:rsidRPr="001778C4">
              <w:rPr>
                <w:sz w:val="24"/>
                <w:szCs w:val="24"/>
                <w:lang w:val="sq-AL"/>
              </w:rPr>
              <w:tab/>
              <w:t xml:space="preserve">  </w:t>
            </w:r>
          </w:p>
          <w:p w:rsidR="00246A02" w:rsidRPr="001778C4" w:rsidRDefault="00246A02" w:rsidP="00F82FE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Plani strategjik afatmes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m dhe afatgjat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i DPB, p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r mbrojtjen, trajtimin dhe riintegrimin e grave 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d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nuara.</w:t>
            </w:r>
          </w:p>
          <w:p w:rsidR="00DD456E" w:rsidRPr="001778C4" w:rsidRDefault="00246A02" w:rsidP="00F82FE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Parimet e nj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trajtimi 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p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rshtatsh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m p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r grat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e d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nuara dhe n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proces gjykimi.</w:t>
            </w:r>
            <w:r w:rsidR="00DD456E" w:rsidRPr="001778C4">
              <w:rPr>
                <w:sz w:val="24"/>
                <w:szCs w:val="24"/>
                <w:lang w:val="sq-AL"/>
              </w:rPr>
              <w:tab/>
            </w:r>
            <w:r w:rsidR="00DD456E" w:rsidRPr="001778C4">
              <w:rPr>
                <w:sz w:val="24"/>
                <w:szCs w:val="24"/>
                <w:lang w:val="sq-AL"/>
              </w:rPr>
              <w:tab/>
              <w:t xml:space="preserve">  </w:t>
            </w:r>
          </w:p>
          <w:p w:rsidR="00DD456E" w:rsidRPr="001778C4" w:rsidRDefault="00DD456E" w:rsidP="00F82FE7">
            <w:pPr>
              <w:ind w:left="360"/>
              <w:jc w:val="both"/>
              <w:rPr>
                <w:lang w:val="sq-AL"/>
              </w:rPr>
            </w:pPr>
            <w:r w:rsidRPr="001778C4">
              <w:rPr>
                <w:lang w:val="sq-AL"/>
              </w:rPr>
              <w:tab/>
            </w:r>
            <w:r w:rsidRPr="001778C4">
              <w:rPr>
                <w:lang w:val="sq-AL"/>
              </w:rPr>
              <w:tab/>
            </w:r>
            <w:r w:rsidRPr="001778C4">
              <w:rPr>
                <w:lang w:val="sq-AL"/>
              </w:rPr>
              <w:tab/>
              <w:t xml:space="preserve"> </w:t>
            </w:r>
          </w:p>
          <w:p w:rsidR="00DD456E" w:rsidRPr="001778C4" w:rsidRDefault="00DD456E" w:rsidP="00F82FE7">
            <w:pPr>
              <w:jc w:val="both"/>
              <w:rPr>
                <w:lang w:val="sq-AL"/>
              </w:rPr>
            </w:pPr>
            <w:r w:rsidRPr="001778C4">
              <w:rPr>
                <w:lang w:val="sq-AL"/>
              </w:rPr>
              <w:tab/>
            </w:r>
          </w:p>
        </w:tc>
        <w:tc>
          <w:tcPr>
            <w:tcW w:w="1061" w:type="dxa"/>
          </w:tcPr>
          <w:p w:rsidR="00DD456E" w:rsidRPr="001778C4" w:rsidRDefault="0001571D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4</w:t>
            </w:r>
          </w:p>
        </w:tc>
      </w:tr>
      <w:tr w:rsidR="00DD456E" w:rsidRPr="001778C4" w:rsidTr="00053AB9">
        <w:trPr>
          <w:trHeight w:val="132"/>
        </w:trPr>
        <w:tc>
          <w:tcPr>
            <w:tcW w:w="712" w:type="dxa"/>
          </w:tcPr>
          <w:p w:rsidR="00DD456E" w:rsidRPr="001778C4" w:rsidRDefault="00DD456E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3</w:t>
            </w:r>
          </w:p>
        </w:tc>
        <w:tc>
          <w:tcPr>
            <w:tcW w:w="7361" w:type="dxa"/>
          </w:tcPr>
          <w:p w:rsidR="00DD456E" w:rsidRPr="001778C4" w:rsidRDefault="00F56902" w:rsidP="00F82FE7">
            <w:pPr>
              <w:jc w:val="both"/>
              <w:rPr>
                <w:b/>
              </w:rPr>
            </w:pPr>
            <w:r w:rsidRPr="001778C4">
              <w:rPr>
                <w:b/>
              </w:rPr>
              <w:t>Grat</w:t>
            </w:r>
            <w:r w:rsidR="00053AB9" w:rsidRPr="001778C4">
              <w:rPr>
                <w:b/>
              </w:rPr>
              <w:t>ë</w:t>
            </w:r>
            <w:r w:rsidRPr="001778C4">
              <w:rPr>
                <w:b/>
              </w:rPr>
              <w:t xml:space="preserve"> e burgosura </w:t>
            </w:r>
            <w:r w:rsidR="00934B27" w:rsidRPr="001778C4">
              <w:rPr>
                <w:b/>
              </w:rPr>
              <w:t>-</w:t>
            </w:r>
            <w:r w:rsidRPr="001778C4">
              <w:rPr>
                <w:b/>
              </w:rPr>
              <w:t xml:space="preserve"> p</w:t>
            </w:r>
            <w:r w:rsidR="00053AB9" w:rsidRPr="001778C4">
              <w:rPr>
                <w:b/>
              </w:rPr>
              <w:t>ë</w:t>
            </w:r>
            <w:r w:rsidRPr="001778C4">
              <w:rPr>
                <w:b/>
              </w:rPr>
              <w:t>rjashtimi social</w:t>
            </w:r>
          </w:p>
          <w:p w:rsidR="00DD456E" w:rsidRPr="001778C4" w:rsidRDefault="00F56902" w:rsidP="00F82FE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Faktor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t q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 xml:space="preserve"> e nxisin gruan drejt krimit.</w:t>
            </w:r>
          </w:p>
          <w:p w:rsidR="00DD456E" w:rsidRPr="001778C4" w:rsidRDefault="00F56902" w:rsidP="00F82FE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P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rjashtimi social i grave :</w:t>
            </w:r>
          </w:p>
          <w:p w:rsidR="00DD456E" w:rsidRPr="001778C4" w:rsidRDefault="00F56902" w:rsidP="00F82FE7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Dimensioni ekonomik, papun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sia.</w:t>
            </w:r>
          </w:p>
          <w:p w:rsidR="00F56902" w:rsidRPr="001778C4" w:rsidRDefault="00F56902" w:rsidP="00F82FE7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Faktor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t social kulturor, shkalla e ul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t e arsimit.</w:t>
            </w:r>
          </w:p>
          <w:p w:rsidR="00F56902" w:rsidRPr="001778C4" w:rsidRDefault="00F56902" w:rsidP="00F82FE7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P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rgjegj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sit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 xml:space="preserve"> familjare dhe prind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rimi.</w:t>
            </w:r>
          </w:p>
          <w:p w:rsidR="00F56902" w:rsidRPr="001778C4" w:rsidRDefault="00F56902" w:rsidP="00F82FE7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Dhuna gjinore.</w:t>
            </w:r>
          </w:p>
          <w:p w:rsidR="00DD456E" w:rsidRPr="001778C4" w:rsidRDefault="00DD456E" w:rsidP="00F82FE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 xml:space="preserve">Diskutime </w:t>
            </w:r>
          </w:p>
        </w:tc>
        <w:tc>
          <w:tcPr>
            <w:tcW w:w="1061" w:type="dxa"/>
          </w:tcPr>
          <w:p w:rsidR="00DD456E" w:rsidRPr="001778C4" w:rsidRDefault="00F56902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3</w:t>
            </w:r>
          </w:p>
        </w:tc>
      </w:tr>
      <w:tr w:rsidR="00F56902" w:rsidRPr="001778C4" w:rsidTr="00081B13">
        <w:trPr>
          <w:trHeight w:val="2150"/>
        </w:trPr>
        <w:tc>
          <w:tcPr>
            <w:tcW w:w="712" w:type="dxa"/>
          </w:tcPr>
          <w:p w:rsidR="00F56902" w:rsidRPr="001778C4" w:rsidRDefault="00F56902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4</w:t>
            </w:r>
          </w:p>
        </w:tc>
        <w:tc>
          <w:tcPr>
            <w:tcW w:w="7361" w:type="dxa"/>
          </w:tcPr>
          <w:p w:rsidR="00F56902" w:rsidRPr="001778C4" w:rsidRDefault="00F56902" w:rsidP="00F82FE7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Pasojat psikologjike të burgimit tek gratë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Pasojat psikologjike që vijnë nga institucionalizimi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Varësia nga institucioni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Supervigjilence, mosbesim tek të tjerët, dyshim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Kontrolli emocional, distancë psikologjike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 xml:space="preserve">Tërheqja sociale dhe izolimi 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Brendësimi i normave të kulturës së burgut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q-AL" w:eastAsia="ja-JP"/>
              </w:rPr>
            </w:pPr>
            <w:r w:rsidRPr="001778C4">
              <w:rPr>
                <w:sz w:val="24"/>
                <w:szCs w:val="24"/>
                <w:lang w:val="sq-AL" w:eastAsia="ja-JP"/>
              </w:rPr>
              <w:t>Vetvlerësim i ulët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q-AL" w:eastAsia="ja-JP"/>
              </w:rPr>
            </w:pPr>
            <w:r w:rsidRPr="001778C4">
              <w:rPr>
                <w:sz w:val="24"/>
                <w:szCs w:val="24"/>
                <w:lang w:val="sq-AL" w:eastAsia="ja-JP"/>
              </w:rPr>
              <w:t>Reagime të stresit post-traumatik nga burgimi</w:t>
            </w:r>
          </w:p>
          <w:p w:rsidR="00F622F5" w:rsidRPr="001778C4" w:rsidRDefault="00F622F5" w:rsidP="00F82FE7">
            <w:pPr>
              <w:jc w:val="both"/>
              <w:rPr>
                <w:lang w:val="sq-AL" w:eastAsia="ja-JP"/>
              </w:rPr>
            </w:pP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sq-AL" w:eastAsia="ja-JP"/>
              </w:rPr>
            </w:pPr>
            <w:r w:rsidRPr="001778C4">
              <w:rPr>
                <w:sz w:val="24"/>
                <w:szCs w:val="24"/>
                <w:lang w:val="sq-AL" w:eastAsia="ja-JP"/>
              </w:rPr>
              <w:t>Probleme të Shëndetit Mendor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sq-AL" w:eastAsia="ja-JP"/>
              </w:rPr>
            </w:pPr>
            <w:r w:rsidRPr="001778C4">
              <w:rPr>
                <w:sz w:val="24"/>
                <w:szCs w:val="24"/>
                <w:lang w:val="sq-AL" w:eastAsia="ja-JP"/>
              </w:rPr>
              <w:t>Atmosfera në një burg për gra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Fëmijët e grave të dënuara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Shërbimi shëndetësor dhe aktivitete të tjera mbështetëse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Përshtatja e sigurisë për gratë</w:t>
            </w:r>
          </w:p>
          <w:p w:rsidR="00F622F5" w:rsidRPr="001778C4" w:rsidRDefault="00F622F5" w:rsidP="00F82FE7">
            <w:pPr>
              <w:pStyle w:val="ListParagraph"/>
              <w:numPr>
                <w:ilvl w:val="0"/>
                <w:numId w:val="12"/>
              </w:numPr>
              <w:tabs>
                <w:tab w:val="left" w:pos="1980"/>
              </w:tabs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Mundësitë për edukim, punësim dhe aktivitete kreative</w:t>
            </w:r>
          </w:p>
          <w:p w:rsidR="00F82FE7" w:rsidRPr="001778C4" w:rsidRDefault="00F82FE7" w:rsidP="00F82FE7">
            <w:pPr>
              <w:pStyle w:val="ListParagraph"/>
              <w:numPr>
                <w:ilvl w:val="0"/>
                <w:numId w:val="12"/>
              </w:numPr>
              <w:tabs>
                <w:tab w:val="left" w:pos="1980"/>
              </w:tabs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Diskutime</w:t>
            </w:r>
          </w:p>
          <w:p w:rsidR="00F56902" w:rsidRPr="001778C4" w:rsidRDefault="00F56902" w:rsidP="00F82FE7">
            <w:pPr>
              <w:jc w:val="both"/>
            </w:pPr>
          </w:p>
        </w:tc>
        <w:tc>
          <w:tcPr>
            <w:tcW w:w="1061" w:type="dxa"/>
          </w:tcPr>
          <w:p w:rsidR="00F56902" w:rsidRPr="001778C4" w:rsidRDefault="00877FB8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6</w:t>
            </w:r>
          </w:p>
        </w:tc>
      </w:tr>
      <w:tr w:rsidR="004F29B8" w:rsidRPr="001778C4" w:rsidTr="00081B13">
        <w:trPr>
          <w:trHeight w:val="2150"/>
        </w:trPr>
        <w:tc>
          <w:tcPr>
            <w:tcW w:w="712" w:type="dxa"/>
          </w:tcPr>
          <w:p w:rsidR="004F29B8" w:rsidRPr="001778C4" w:rsidRDefault="004F29B8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lastRenderedPageBreak/>
              <w:t>5</w:t>
            </w:r>
          </w:p>
        </w:tc>
        <w:tc>
          <w:tcPr>
            <w:tcW w:w="7361" w:type="dxa"/>
          </w:tcPr>
          <w:p w:rsidR="004F29B8" w:rsidRPr="001778C4" w:rsidRDefault="004F29B8" w:rsidP="00F82FE7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Parandalimi i dhun</w:t>
            </w:r>
            <w:r w:rsidR="00053AB9" w:rsidRPr="001778C4">
              <w:rPr>
                <w:b/>
                <w:lang w:val="sq-AL"/>
              </w:rPr>
              <w:t>ë</w:t>
            </w:r>
            <w:r w:rsidRPr="001778C4">
              <w:rPr>
                <w:b/>
                <w:lang w:val="sq-AL"/>
              </w:rPr>
              <w:t>s gjinore</w:t>
            </w:r>
            <w:r w:rsidR="00934B27" w:rsidRPr="001778C4">
              <w:rPr>
                <w:b/>
                <w:lang w:val="sq-AL"/>
              </w:rPr>
              <w:t xml:space="preserve"> dhe trajtimi i grave t</w:t>
            </w:r>
            <w:r w:rsidR="00053AB9" w:rsidRPr="001778C4">
              <w:rPr>
                <w:b/>
                <w:lang w:val="sq-AL"/>
              </w:rPr>
              <w:t>ë</w:t>
            </w:r>
            <w:r w:rsidR="00934B27" w:rsidRPr="001778C4">
              <w:rPr>
                <w:b/>
                <w:lang w:val="sq-AL"/>
              </w:rPr>
              <w:t xml:space="preserve"> dhunuara</w:t>
            </w:r>
          </w:p>
          <w:p w:rsidR="004F29B8" w:rsidRPr="001778C4" w:rsidRDefault="004F29B8" w:rsidP="00F82FE7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Kuadri ligjor mbi parandalimin e dhun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s gjinore.</w:t>
            </w:r>
          </w:p>
          <w:p w:rsidR="004F29B8" w:rsidRPr="001778C4" w:rsidRDefault="004F29B8" w:rsidP="00F82FE7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Steriotiotipet gjinore.</w:t>
            </w:r>
            <w:r w:rsidRPr="001778C4">
              <w:rPr>
                <w:sz w:val="24"/>
                <w:szCs w:val="24"/>
              </w:rPr>
              <w:t xml:space="preserve"> Ekzistenca e stereotipeve gjinore dhe paragjykimeve (jashtë dhe brenda burgut). Implikimet negative qe stereotipet gjinore dhe paragjykimet kan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 xml:space="preserve"> n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 xml:space="preserve"> GV.</w:t>
            </w:r>
          </w:p>
          <w:p w:rsidR="004F29B8" w:rsidRPr="001778C4" w:rsidRDefault="004F29B8" w:rsidP="00F82FE7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Dhuna gjinore dhe agresioni</w:t>
            </w:r>
            <w:r w:rsidR="00934B27" w:rsidRPr="001778C4">
              <w:rPr>
                <w:sz w:val="24"/>
                <w:szCs w:val="24"/>
                <w:lang w:val="sq-AL"/>
              </w:rPr>
              <w:t>. Fazat e dhun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="00934B27" w:rsidRPr="001778C4">
              <w:rPr>
                <w:sz w:val="24"/>
                <w:szCs w:val="24"/>
                <w:lang w:val="sq-AL"/>
              </w:rPr>
              <w:t>s.</w:t>
            </w:r>
          </w:p>
          <w:p w:rsidR="004F29B8" w:rsidRPr="001778C4" w:rsidRDefault="004F29B8" w:rsidP="00F82FE7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</w:rPr>
              <w:t>V</w:t>
            </w:r>
            <w:r w:rsidR="00F82FE7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zhgime dhe përvojat me të burgosurat  femra.</w:t>
            </w:r>
          </w:p>
          <w:p w:rsidR="004F29B8" w:rsidRPr="001778C4" w:rsidRDefault="004F29B8" w:rsidP="00F82FE7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Aft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>sit</w:t>
            </w:r>
            <w:r w:rsidR="00053AB9" w:rsidRPr="001778C4">
              <w:rPr>
                <w:sz w:val="24"/>
                <w:szCs w:val="24"/>
                <w:lang w:val="sq-AL"/>
              </w:rPr>
              <w:t>ë</w:t>
            </w:r>
            <w:r w:rsidRPr="001778C4">
              <w:rPr>
                <w:sz w:val="24"/>
                <w:szCs w:val="24"/>
                <w:lang w:val="sq-AL"/>
              </w:rPr>
              <w:t xml:space="preserve"> komunikuese dhe empathia.</w:t>
            </w:r>
          </w:p>
        </w:tc>
        <w:tc>
          <w:tcPr>
            <w:tcW w:w="1061" w:type="dxa"/>
          </w:tcPr>
          <w:p w:rsidR="004F29B8" w:rsidRPr="001778C4" w:rsidRDefault="00934B27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4</w:t>
            </w:r>
          </w:p>
        </w:tc>
      </w:tr>
      <w:tr w:rsidR="00934B27" w:rsidRPr="001778C4" w:rsidTr="00081B13">
        <w:trPr>
          <w:trHeight w:val="2150"/>
        </w:trPr>
        <w:tc>
          <w:tcPr>
            <w:tcW w:w="712" w:type="dxa"/>
          </w:tcPr>
          <w:p w:rsidR="00934B27" w:rsidRPr="001778C4" w:rsidRDefault="00934B27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6</w:t>
            </w:r>
          </w:p>
        </w:tc>
        <w:tc>
          <w:tcPr>
            <w:tcW w:w="7361" w:type="dxa"/>
          </w:tcPr>
          <w:p w:rsidR="00934B27" w:rsidRPr="001778C4" w:rsidRDefault="007705C1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Zbatimi i programeve t</w:t>
            </w:r>
            <w:r w:rsidR="00053AB9" w:rsidRPr="001778C4">
              <w:rPr>
                <w:b/>
                <w:lang w:val="sq-AL"/>
              </w:rPr>
              <w:t>ë</w:t>
            </w:r>
            <w:r w:rsidRPr="001778C4">
              <w:rPr>
                <w:b/>
                <w:lang w:val="sq-AL"/>
              </w:rPr>
              <w:t xml:space="preserve"> trajtimit dhe rehabilitimit t</w:t>
            </w:r>
            <w:r w:rsidR="00053AB9" w:rsidRPr="001778C4">
              <w:rPr>
                <w:b/>
                <w:lang w:val="sq-AL"/>
              </w:rPr>
              <w:t>ë</w:t>
            </w:r>
            <w:r w:rsidRPr="001778C4">
              <w:rPr>
                <w:b/>
                <w:lang w:val="sq-AL"/>
              </w:rPr>
              <w:t xml:space="preserve"> grave n</w:t>
            </w:r>
            <w:r w:rsidR="00053AB9" w:rsidRPr="001778C4">
              <w:rPr>
                <w:b/>
                <w:lang w:val="sq-AL"/>
              </w:rPr>
              <w:t>ë</w:t>
            </w:r>
            <w:r w:rsidRPr="001778C4">
              <w:rPr>
                <w:b/>
                <w:lang w:val="sq-AL"/>
              </w:rPr>
              <w:t xml:space="preserve"> institucionet penale.</w:t>
            </w:r>
          </w:p>
          <w:p w:rsidR="00081B13" w:rsidRPr="001778C4" w:rsidRDefault="00081B13" w:rsidP="00081B13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  <w:lang w:val="sq-AL"/>
              </w:rPr>
              <w:t>Hyrje</w:t>
            </w:r>
          </w:p>
          <w:p w:rsidR="00081B13" w:rsidRPr="001778C4" w:rsidRDefault="00081B13" w:rsidP="00081B13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</w:rPr>
              <w:t>Nevojat e veçanta të dënuarave</w:t>
            </w:r>
          </w:p>
          <w:p w:rsidR="00081B13" w:rsidRPr="001778C4" w:rsidRDefault="00081B13" w:rsidP="00081B13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</w:rPr>
              <w:t>Parimet që përfshijnë vlerësimin të nevojave</w:t>
            </w:r>
          </w:p>
          <w:p w:rsidR="00081B13" w:rsidRPr="001778C4" w:rsidRDefault="00081B13" w:rsidP="00081B13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Vlerësimi i nevojave me qëllim për trajtimin e grave në burg</w:t>
            </w:r>
          </w:p>
          <w:p w:rsidR="00081B13" w:rsidRPr="001778C4" w:rsidRDefault="00081B13" w:rsidP="00081B13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</w:rPr>
              <w:t>Trajtimi dhe menaxhimi i të dënuarave</w:t>
            </w:r>
          </w:p>
          <w:p w:rsidR="00081B13" w:rsidRPr="001778C4" w:rsidRDefault="00081B13" w:rsidP="00081B13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q-AL"/>
              </w:rPr>
            </w:pPr>
            <w:r w:rsidRPr="001778C4">
              <w:rPr>
                <w:sz w:val="24"/>
                <w:szCs w:val="24"/>
              </w:rPr>
              <w:t>Programet e trajtimit me specifika gjinore</w:t>
            </w:r>
          </w:p>
          <w:p w:rsidR="00081B13" w:rsidRPr="001778C4" w:rsidRDefault="00081B13" w:rsidP="00081B13">
            <w:pPr>
              <w:numPr>
                <w:ilvl w:val="0"/>
                <w:numId w:val="17"/>
              </w:numPr>
              <w:spacing w:line="276" w:lineRule="auto"/>
              <w:jc w:val="both"/>
            </w:pPr>
            <w:r w:rsidRPr="001778C4">
              <w:t>Rehabilitimi dhe ri-integrimi</w:t>
            </w:r>
          </w:p>
          <w:p w:rsidR="00081B13" w:rsidRPr="001778C4" w:rsidRDefault="00081B13" w:rsidP="00081B13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Format efikase që ndihmojnë procesin e rehabilitimit deri në ri-integrim</w:t>
            </w:r>
          </w:p>
          <w:p w:rsidR="00081B13" w:rsidRPr="001778C4" w:rsidRDefault="00081B13" w:rsidP="00081B13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Roli i ekipeve multidisiplinare n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 xml:space="preserve"> zbatimin e programeve mb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shtet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>se.</w:t>
            </w:r>
          </w:p>
          <w:p w:rsidR="00081B13" w:rsidRPr="001778C4" w:rsidRDefault="00081B13" w:rsidP="00081B13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778C4">
              <w:rPr>
                <w:sz w:val="24"/>
                <w:szCs w:val="24"/>
              </w:rPr>
              <w:t>Intervizion (pun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 xml:space="preserve"> n</w:t>
            </w:r>
            <w:r w:rsidR="00053AB9" w:rsidRPr="001778C4">
              <w:rPr>
                <w:sz w:val="24"/>
                <w:szCs w:val="24"/>
              </w:rPr>
              <w:t>ë</w:t>
            </w:r>
            <w:r w:rsidRPr="001778C4">
              <w:rPr>
                <w:sz w:val="24"/>
                <w:szCs w:val="24"/>
              </w:rPr>
              <w:t xml:space="preserve"> grup)</w:t>
            </w:r>
          </w:p>
          <w:p w:rsidR="00081B13" w:rsidRPr="001778C4" w:rsidRDefault="00081B13" w:rsidP="00081B13">
            <w:pPr>
              <w:jc w:val="both"/>
              <w:rPr>
                <w:lang w:val="sq-AL"/>
              </w:rPr>
            </w:pPr>
          </w:p>
        </w:tc>
        <w:tc>
          <w:tcPr>
            <w:tcW w:w="1061" w:type="dxa"/>
          </w:tcPr>
          <w:p w:rsidR="00934B27" w:rsidRPr="001778C4" w:rsidRDefault="00081B13" w:rsidP="0015556A">
            <w:pPr>
              <w:jc w:val="both"/>
              <w:rPr>
                <w:b/>
                <w:lang w:val="sq-AL"/>
              </w:rPr>
            </w:pPr>
            <w:r w:rsidRPr="001778C4">
              <w:rPr>
                <w:b/>
                <w:lang w:val="sq-AL"/>
              </w:rPr>
              <w:t>8</w:t>
            </w:r>
          </w:p>
        </w:tc>
      </w:tr>
    </w:tbl>
    <w:p w:rsidR="00DF32A7" w:rsidRDefault="00DF32A7" w:rsidP="001778C4"/>
    <w:p w:rsidR="001778C4" w:rsidRDefault="001778C4" w:rsidP="001778C4"/>
    <w:p w:rsidR="001778C4" w:rsidRDefault="001778C4" w:rsidP="001778C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Konceptoi   </w:t>
      </w:r>
    </w:p>
    <w:p w:rsidR="001778C4" w:rsidRDefault="001778C4" w:rsidP="001778C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Përgj.Sekt Përgatitjes, Arm, Emergj                                                                                                                                               </w:t>
      </w:r>
    </w:p>
    <w:p w:rsidR="001778C4" w:rsidRDefault="001778C4" w:rsidP="001778C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K/Komisar Femi SUFAJ </w:t>
      </w:r>
    </w:p>
    <w:p w:rsidR="001778C4" w:rsidRDefault="001778C4" w:rsidP="001778C4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Përgj.Sekt Social Blerta Doçi</w:t>
      </w:r>
    </w:p>
    <w:p w:rsidR="001778C4" w:rsidRDefault="001778C4" w:rsidP="001778C4">
      <w:pPr>
        <w:rPr>
          <w:i/>
          <w:sz w:val="20"/>
          <w:szCs w:val="20"/>
        </w:rPr>
      </w:pPr>
      <w:r>
        <w:rPr>
          <w:i/>
          <w:sz w:val="20"/>
          <w:szCs w:val="20"/>
        </w:rPr>
        <w:t>Konfirmoi:</w:t>
      </w:r>
    </w:p>
    <w:p w:rsidR="001778C4" w:rsidRDefault="001778C4" w:rsidP="001778C4">
      <w:pPr>
        <w:rPr>
          <w:i/>
          <w:sz w:val="20"/>
          <w:szCs w:val="20"/>
        </w:rPr>
      </w:pPr>
      <w:r>
        <w:rPr>
          <w:i/>
          <w:sz w:val="20"/>
          <w:szCs w:val="20"/>
        </w:rPr>
        <w:t>Drejtori i Policisë Nazmi Demirxhi</w:t>
      </w:r>
    </w:p>
    <w:p w:rsidR="001778C4" w:rsidRPr="001778C4" w:rsidRDefault="001778C4" w:rsidP="001778C4"/>
    <w:sectPr w:rsidR="001778C4" w:rsidRPr="001778C4" w:rsidSect="009E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51" w:rsidRDefault="00D55151" w:rsidP="00930571">
      <w:r>
        <w:separator/>
      </w:r>
    </w:p>
  </w:endnote>
  <w:endnote w:type="continuationSeparator" w:id="1">
    <w:p w:rsidR="00D55151" w:rsidRDefault="00D55151" w:rsidP="0093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71" w:rsidRDefault="00930571" w:rsidP="00930571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930571" w:rsidRDefault="00930571" w:rsidP="0093057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DREJTORIA E PERGJITHSHME E BURGJEVE  Rruga : “Abdi Toptani (prane Torre Drine )” Tiranë,</w:t>
    </w:r>
  </w:p>
  <w:p w:rsidR="00930571" w:rsidRDefault="00930571" w:rsidP="00930571">
    <w:pPr>
      <w:pStyle w:val="Footer"/>
      <w:jc w:val="center"/>
      <w:rPr>
        <w:i/>
        <w:sz w:val="20"/>
        <w:szCs w:val="20"/>
      </w:rPr>
    </w:pPr>
    <w:r>
      <w:rPr>
        <w:sz w:val="20"/>
        <w:szCs w:val="20"/>
      </w:rPr>
      <w:t xml:space="preserve">Tel +355 4 271437, Fax + 355 4 22 82 92, </w:t>
    </w:r>
    <w:hyperlink r:id="rId1" w:history="1">
      <w:r>
        <w:rPr>
          <w:rStyle w:val="Hyperlink"/>
          <w:sz w:val="20"/>
          <w:szCs w:val="20"/>
        </w:rPr>
        <w:t>www.dpbsh.gov.al</w:t>
      </w:r>
    </w:hyperlink>
    <w:r>
      <w:rPr>
        <w:sz w:val="20"/>
        <w:szCs w:val="20"/>
      </w:rPr>
      <w:t xml:space="preserve">,e-mail: </w:t>
    </w:r>
    <w:hyperlink r:id="rId2" w:history="1">
      <w:r>
        <w:rPr>
          <w:rStyle w:val="Hyperlink"/>
          <w:sz w:val="20"/>
          <w:szCs w:val="20"/>
        </w:rPr>
        <w:t>dpbsh@albaniaonline.net</w:t>
      </w:r>
    </w:hyperlink>
    <w:r>
      <w:rPr>
        <w:i/>
        <w:sz w:val="20"/>
        <w:szCs w:val="20"/>
      </w:rPr>
      <w:t xml:space="preserve">ge </w:t>
    </w:r>
    <w:r w:rsidR="00534401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PAGE </w:instrText>
    </w:r>
    <w:r w:rsidR="00534401">
      <w:rPr>
        <w:b/>
        <w:i/>
        <w:sz w:val="20"/>
        <w:szCs w:val="20"/>
      </w:rPr>
      <w:fldChar w:fldCharType="separate"/>
    </w:r>
    <w:r w:rsidR="00792A3C">
      <w:rPr>
        <w:b/>
        <w:i/>
        <w:noProof/>
        <w:sz w:val="20"/>
        <w:szCs w:val="20"/>
      </w:rPr>
      <w:t>3</w:t>
    </w:r>
    <w:r w:rsidR="00534401">
      <w:rPr>
        <w:b/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of </w:t>
    </w:r>
    <w:r w:rsidR="00534401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NUMPAGES  </w:instrText>
    </w:r>
    <w:r w:rsidR="00534401">
      <w:rPr>
        <w:b/>
        <w:i/>
        <w:sz w:val="20"/>
        <w:szCs w:val="20"/>
      </w:rPr>
      <w:fldChar w:fldCharType="separate"/>
    </w:r>
    <w:r w:rsidR="00792A3C">
      <w:rPr>
        <w:b/>
        <w:i/>
        <w:noProof/>
        <w:sz w:val="20"/>
        <w:szCs w:val="20"/>
      </w:rPr>
      <w:t>3</w:t>
    </w:r>
    <w:r w:rsidR="00534401">
      <w:rPr>
        <w:b/>
        <w:i/>
        <w:sz w:val="20"/>
        <w:szCs w:val="20"/>
      </w:rPr>
      <w:fldChar w:fldCharType="end"/>
    </w:r>
  </w:p>
  <w:p w:rsidR="00930571" w:rsidRDefault="00930571" w:rsidP="00930571">
    <w:pPr>
      <w:pStyle w:val="Footer"/>
      <w:jc w:val="right"/>
      <w:rPr>
        <w:color w:val="F2F2F2"/>
      </w:rPr>
    </w:pPr>
  </w:p>
  <w:p w:rsidR="00930571" w:rsidRPr="00930571" w:rsidRDefault="00930571" w:rsidP="00930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51" w:rsidRDefault="00D55151" w:rsidP="00930571">
      <w:r>
        <w:separator/>
      </w:r>
    </w:p>
  </w:footnote>
  <w:footnote w:type="continuationSeparator" w:id="1">
    <w:p w:rsidR="00D55151" w:rsidRDefault="00D55151" w:rsidP="0093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C1"/>
    <w:multiLevelType w:val="hybridMultilevel"/>
    <w:tmpl w:val="B4F246DE"/>
    <w:lvl w:ilvl="0" w:tplc="56DCBA0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C71"/>
    <w:multiLevelType w:val="hybridMultilevel"/>
    <w:tmpl w:val="B9B2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DFC"/>
    <w:multiLevelType w:val="multilevel"/>
    <w:tmpl w:val="063C767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2160"/>
      </w:pPr>
      <w:rPr>
        <w:rFonts w:hint="default"/>
      </w:rPr>
    </w:lvl>
  </w:abstractNum>
  <w:abstractNum w:abstractNumId="3">
    <w:nsid w:val="10123466"/>
    <w:multiLevelType w:val="multilevel"/>
    <w:tmpl w:val="7966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16ED"/>
    <w:multiLevelType w:val="multilevel"/>
    <w:tmpl w:val="109EDDC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A96BB4"/>
    <w:multiLevelType w:val="hybridMultilevel"/>
    <w:tmpl w:val="14348F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27474"/>
    <w:multiLevelType w:val="multilevel"/>
    <w:tmpl w:val="063C767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2160"/>
      </w:pPr>
      <w:rPr>
        <w:rFonts w:hint="default"/>
      </w:rPr>
    </w:lvl>
  </w:abstractNum>
  <w:abstractNum w:abstractNumId="7">
    <w:nsid w:val="34154362"/>
    <w:multiLevelType w:val="hybridMultilevel"/>
    <w:tmpl w:val="05C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2158F"/>
    <w:multiLevelType w:val="hybridMultilevel"/>
    <w:tmpl w:val="82A43596"/>
    <w:lvl w:ilvl="0" w:tplc="56DCBA0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952AD4"/>
    <w:multiLevelType w:val="multilevel"/>
    <w:tmpl w:val="7966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518F0"/>
    <w:multiLevelType w:val="multilevel"/>
    <w:tmpl w:val="7966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470C3"/>
    <w:multiLevelType w:val="multilevel"/>
    <w:tmpl w:val="063C767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2160"/>
      </w:pPr>
      <w:rPr>
        <w:rFonts w:hint="default"/>
      </w:rPr>
    </w:lvl>
  </w:abstractNum>
  <w:abstractNum w:abstractNumId="12">
    <w:nsid w:val="58626850"/>
    <w:multiLevelType w:val="multilevel"/>
    <w:tmpl w:val="7966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3604"/>
    <w:multiLevelType w:val="hybridMultilevel"/>
    <w:tmpl w:val="7966C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26D17"/>
    <w:multiLevelType w:val="multilevel"/>
    <w:tmpl w:val="063C767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2160"/>
      </w:pPr>
      <w:rPr>
        <w:rFonts w:hint="default"/>
      </w:rPr>
    </w:lvl>
  </w:abstractNum>
  <w:abstractNum w:abstractNumId="15">
    <w:nsid w:val="75C42F1A"/>
    <w:multiLevelType w:val="hybridMultilevel"/>
    <w:tmpl w:val="8802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D661B"/>
    <w:multiLevelType w:val="multilevel"/>
    <w:tmpl w:val="063C767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6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56E"/>
    <w:rsid w:val="0001571D"/>
    <w:rsid w:val="00053AB9"/>
    <w:rsid w:val="00081B13"/>
    <w:rsid w:val="000E0669"/>
    <w:rsid w:val="00135347"/>
    <w:rsid w:val="0017017E"/>
    <w:rsid w:val="001778C4"/>
    <w:rsid w:val="00246A02"/>
    <w:rsid w:val="002A679B"/>
    <w:rsid w:val="002B313D"/>
    <w:rsid w:val="003F51D1"/>
    <w:rsid w:val="004871A3"/>
    <w:rsid w:val="00493656"/>
    <w:rsid w:val="004C7C18"/>
    <w:rsid w:val="004F29B8"/>
    <w:rsid w:val="00534401"/>
    <w:rsid w:val="0053490D"/>
    <w:rsid w:val="0067158D"/>
    <w:rsid w:val="006C0E6A"/>
    <w:rsid w:val="007705C1"/>
    <w:rsid w:val="00792A3C"/>
    <w:rsid w:val="007D4D21"/>
    <w:rsid w:val="00877FB8"/>
    <w:rsid w:val="00930571"/>
    <w:rsid w:val="00934B27"/>
    <w:rsid w:val="009E514B"/>
    <w:rsid w:val="009E75FB"/>
    <w:rsid w:val="009F17F5"/>
    <w:rsid w:val="00A55B30"/>
    <w:rsid w:val="00A657F1"/>
    <w:rsid w:val="00BA579A"/>
    <w:rsid w:val="00C60781"/>
    <w:rsid w:val="00D55151"/>
    <w:rsid w:val="00D73F6F"/>
    <w:rsid w:val="00DD456E"/>
    <w:rsid w:val="00DF32A7"/>
    <w:rsid w:val="00F56902"/>
    <w:rsid w:val="00F622F5"/>
    <w:rsid w:val="00F8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56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6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9E75FB"/>
  </w:style>
  <w:style w:type="paragraph" w:styleId="Header">
    <w:name w:val="header"/>
    <w:basedOn w:val="Normal"/>
    <w:link w:val="HeaderChar"/>
    <w:uiPriority w:val="99"/>
    <w:semiHidden/>
    <w:unhideWhenUsed/>
    <w:rsid w:val="00930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Char"/>
    <w:basedOn w:val="Normal"/>
    <w:link w:val="FooterChar"/>
    <w:unhideWhenUsed/>
    <w:rsid w:val="0093057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Char Char"/>
    <w:basedOn w:val="DefaultParagraphFont"/>
    <w:link w:val="Footer"/>
    <w:rsid w:val="009305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30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bsh@albaniaonline.net" TargetMode="External"/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2017-05-31T08:17:00Z</cp:lastPrinted>
  <dcterms:created xsi:type="dcterms:W3CDTF">2015-07-28T14:11:00Z</dcterms:created>
  <dcterms:modified xsi:type="dcterms:W3CDTF">2017-05-31T08:18:00Z</dcterms:modified>
</cp:coreProperties>
</file>