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B4" w:rsidRPr="00FA406F" w:rsidRDefault="00CA5AB4" w:rsidP="00CA5AB4">
      <w:pPr>
        <w:spacing w:after="0"/>
        <w:contextualSpacing/>
        <w:jc w:val="center"/>
        <w:rPr>
          <w:rFonts w:asciiTheme="majorHAnsi" w:eastAsia="Batang" w:hAnsiTheme="majorHAnsi" w:cs="Arial"/>
          <w:b/>
          <w:sz w:val="28"/>
          <w:szCs w:val="28"/>
          <w:lang w:val="sq-AL"/>
        </w:rPr>
      </w:pPr>
      <w:r w:rsidRPr="00FA406F">
        <w:rPr>
          <w:rFonts w:asciiTheme="majorHAnsi" w:hAnsiTheme="majorHAnsi" w:cs="Arial"/>
          <w:b/>
          <w:sz w:val="28"/>
          <w:szCs w:val="28"/>
          <w:lang w:val="sq-AL"/>
        </w:rPr>
        <w:t>Monitorimi i treguesve të perfomancës sipas objektivave të Strategjisë Kombëtare për Zhvillim dhe Integrim</w:t>
      </w:r>
    </w:p>
    <w:p w:rsidR="00CA5AB4" w:rsidRPr="00FA406F" w:rsidRDefault="00CA5AB4" w:rsidP="00CA5AB4">
      <w:pPr>
        <w:pStyle w:val="Default"/>
        <w:ind w:right="8"/>
        <w:contextualSpacing/>
        <w:jc w:val="both"/>
        <w:rPr>
          <w:rFonts w:asciiTheme="majorHAnsi" w:eastAsia="Batang" w:hAnsiTheme="majorHAnsi" w:cs="Arial"/>
          <w:lang w:val="sq-AL"/>
        </w:rPr>
      </w:pPr>
    </w:p>
    <w:p w:rsidR="00CA5AB4" w:rsidRPr="00FA406F" w:rsidRDefault="00CA5AB4" w:rsidP="00CA5AB4">
      <w:pPr>
        <w:pStyle w:val="Default"/>
        <w:spacing w:line="276" w:lineRule="auto"/>
        <w:ind w:right="8"/>
        <w:contextualSpacing/>
        <w:jc w:val="both"/>
        <w:rPr>
          <w:rFonts w:asciiTheme="majorHAnsi" w:eastAsia="Batang" w:hAnsiTheme="majorHAnsi" w:cs="Arial"/>
          <w:lang w:val="sq-AL"/>
        </w:rPr>
      </w:pPr>
      <w:r w:rsidRPr="00FA406F">
        <w:rPr>
          <w:rFonts w:asciiTheme="majorHAnsi" w:eastAsia="Batang" w:hAnsiTheme="majorHAnsi" w:cs="Arial"/>
          <w:lang w:val="sq-AL"/>
        </w:rPr>
        <w:t>N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 xml:space="preserve"> Strategjin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 xml:space="preserve"> Komb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>tare p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>r Zhvillim dhe Integrim miratuar me Urdhrin e Kryeministrit nr. 394 dat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 xml:space="preserve"> 11.03.2008, janë përcaktuar tre objektivat kryesor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 xml:space="preserve"> t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 xml:space="preserve"> Sistemit t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 xml:space="preserve"> Burgjeve dhe indikator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>t p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>rkat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>s, prej t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 xml:space="preserve"> cil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>ve kryhet nj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 xml:space="preserve"> vlerësim dhe analiz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 xml:space="preserve"> e gjith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 xml:space="preserve"> perfomancës s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 xml:space="preserve"> sistemit gjat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 xml:space="preserve"> nj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 xml:space="preserve"> viti. Kjo strategji hartohet n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 xml:space="preserve"> përputhje me Projekt Buxhetin Afatmes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>m dhe konsiderohet si nj</w:t>
      </w:r>
      <w:r>
        <w:rPr>
          <w:rFonts w:asciiTheme="majorHAnsi" w:eastAsia="Batang" w:hAnsiTheme="majorHAnsi" w:cs="Arial"/>
          <w:lang w:val="sq-AL"/>
        </w:rPr>
        <w:t>ë dokumentet themelor</w:t>
      </w:r>
      <w:r w:rsidRPr="00FA406F">
        <w:rPr>
          <w:rFonts w:asciiTheme="majorHAnsi" w:eastAsia="Batang" w:hAnsiTheme="majorHAnsi" w:cs="Arial"/>
          <w:lang w:val="sq-AL"/>
        </w:rPr>
        <w:t xml:space="preserve"> p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>r planifikimin strategjik dhe buxhetor t</w:t>
      </w:r>
      <w:r>
        <w:rPr>
          <w:rFonts w:asciiTheme="majorHAnsi" w:eastAsia="Batang" w:hAnsiTheme="majorHAnsi" w:cs="Arial"/>
          <w:lang w:val="sq-AL"/>
        </w:rPr>
        <w:t>ë</w:t>
      </w:r>
      <w:r w:rsidRPr="00FA406F">
        <w:rPr>
          <w:rFonts w:asciiTheme="majorHAnsi" w:eastAsia="Batang" w:hAnsiTheme="majorHAnsi" w:cs="Arial"/>
          <w:lang w:val="sq-AL"/>
        </w:rPr>
        <w:t xml:space="preserve"> sistemit. </w:t>
      </w:r>
    </w:p>
    <w:p w:rsidR="00CA5AB4" w:rsidRPr="00FA406F" w:rsidRDefault="00CA5AB4" w:rsidP="00CA5AB4">
      <w:pPr>
        <w:pStyle w:val="Default"/>
        <w:ind w:right="8"/>
        <w:contextualSpacing/>
        <w:jc w:val="both"/>
        <w:rPr>
          <w:rFonts w:asciiTheme="majorHAnsi" w:eastAsia="Batang" w:hAnsiTheme="majorHAnsi" w:cs="Arial"/>
          <w:lang w:val="sq-AL"/>
        </w:rPr>
      </w:pPr>
    </w:p>
    <w:p w:rsidR="00CA5AB4" w:rsidRPr="00FA406F" w:rsidRDefault="00CA5AB4" w:rsidP="00EC353B">
      <w:pPr>
        <w:pStyle w:val="Default"/>
        <w:spacing w:line="276" w:lineRule="auto"/>
        <w:ind w:right="8"/>
        <w:contextualSpacing/>
        <w:jc w:val="both"/>
        <w:rPr>
          <w:rFonts w:asciiTheme="majorHAnsi" w:hAnsiTheme="majorHAnsi" w:cs="Arial"/>
          <w:b/>
          <w:color w:val="auto"/>
          <w:lang w:val="sq-AL"/>
        </w:rPr>
      </w:pPr>
      <w:r w:rsidRPr="00FA406F">
        <w:rPr>
          <w:rFonts w:asciiTheme="majorHAnsi" w:eastAsia="Batang" w:hAnsiTheme="majorHAnsi" w:cs="Arial"/>
          <w:b/>
          <w:lang w:val="sq-AL"/>
        </w:rPr>
        <w:t>Objektivi 1</w:t>
      </w:r>
      <w:r w:rsidRPr="00FA406F">
        <w:rPr>
          <w:rFonts w:asciiTheme="majorHAnsi" w:hAnsiTheme="majorHAnsi" w:cs="Arial"/>
          <w:color w:val="auto"/>
          <w:lang w:val="sq-AL"/>
        </w:rPr>
        <w:t xml:space="preserve"> </w:t>
      </w:r>
      <w:r w:rsidRPr="00FA406F">
        <w:rPr>
          <w:rFonts w:asciiTheme="majorHAnsi" w:hAnsiTheme="majorHAnsi" w:cs="Arial"/>
          <w:b/>
          <w:color w:val="auto"/>
          <w:lang w:val="sq-AL"/>
        </w:rPr>
        <w:t>Mbajtja e të burgosurve në kushte të përshtatshme sigurie dhe strehimi</w:t>
      </w:r>
    </w:p>
    <w:p w:rsidR="00CA5AB4" w:rsidRDefault="00CA5AB4" w:rsidP="00CA5AB4">
      <w:pPr>
        <w:spacing w:after="0"/>
        <w:contextualSpacing/>
        <w:jc w:val="both"/>
        <w:rPr>
          <w:rFonts w:asciiTheme="majorHAnsi" w:eastAsia="Batang" w:hAnsiTheme="majorHAnsi" w:cs="Arial"/>
          <w:sz w:val="24"/>
          <w:szCs w:val="24"/>
          <w:lang w:val="sq-AL"/>
        </w:rPr>
      </w:pPr>
      <w:r w:rsidRPr="00FA406F">
        <w:rPr>
          <w:rFonts w:asciiTheme="majorHAnsi" w:eastAsia="Batang" w:hAnsiTheme="majorHAnsi" w:cs="Arial"/>
          <w:b/>
          <w:i/>
          <w:sz w:val="24"/>
          <w:szCs w:val="24"/>
          <w:u w:val="single"/>
          <w:lang w:val="sq-AL"/>
        </w:rPr>
        <w:t xml:space="preserve">Indikatori 1: Mbipopullimi në burgje dhe paraburgime: 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Gjatë vitit 2012, janë trajtuar mesatarisht rreth 4850 të burgosur në të gjitha IEVP, nga 4750 të trajtuar në 2011 ose 2.05% më shumë. Kapaciteti i institucioneve deri m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dat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02.10.2012 ka qenë 4417. Me hapjen e paraburgimit 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ri n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Elbasan m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03 tetor 2012, kapaciteti i IEVP u rrit me 120 vende dhe shkoi n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4537, ose p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soi nj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rritje me 2.7%. Mbipopullimi ka </w:t>
      </w:r>
      <w:proofErr w:type="spellStart"/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varjuar</w:t>
      </w:r>
      <w:proofErr w:type="spellEnd"/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nga 433 -540 t</w:t>
      </w:r>
      <w:r>
        <w:rPr>
          <w:rFonts w:asciiTheme="majorHAnsi" w:eastAsia="Batang" w:hAnsiTheme="majorHAnsi" w:cs="Arial"/>
          <w:sz w:val="24"/>
          <w:szCs w:val="24"/>
          <w:lang w:val="sq-AL"/>
        </w:rPr>
        <w:t xml:space="preserve">ë burgosur deri 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në muajin shtator 2012, ose 9.8%-12% për kapacitetin 4417. Pas vënies në funksion të IEVP Elbasan, mbipopullimi shkoi 420 ose  9.1% për kapacitet 4537.</w:t>
      </w:r>
    </w:p>
    <w:p w:rsidR="00CA5AB4" w:rsidRDefault="00CA5AB4" w:rsidP="00CA5AB4">
      <w:pPr>
        <w:spacing w:after="0"/>
        <w:contextualSpacing/>
        <w:jc w:val="both"/>
        <w:rPr>
          <w:rFonts w:asciiTheme="majorHAnsi" w:eastAsia="Batang" w:hAnsiTheme="majorHAnsi" w:cs="Arial"/>
          <w:sz w:val="24"/>
          <w:szCs w:val="24"/>
          <w:lang w:val="sq-AL"/>
        </w:rPr>
      </w:pP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</w:t>
      </w:r>
    </w:p>
    <w:p w:rsidR="00CA5AB4" w:rsidRPr="00FA406F" w:rsidRDefault="00CA5AB4" w:rsidP="00CA5AB4">
      <w:pPr>
        <w:spacing w:after="0"/>
        <w:contextualSpacing/>
        <w:jc w:val="center"/>
        <w:rPr>
          <w:rFonts w:asciiTheme="majorHAnsi" w:eastAsia="Batang" w:hAnsiTheme="majorHAnsi" w:cs="Arial"/>
          <w:b/>
          <w:sz w:val="20"/>
          <w:szCs w:val="20"/>
          <w:lang w:val="sq-AL"/>
        </w:rPr>
      </w:pPr>
      <w:r>
        <w:rPr>
          <w:rFonts w:asciiTheme="majorHAnsi" w:eastAsia="Batang" w:hAnsiTheme="majorHAnsi" w:cs="Arial"/>
          <w:b/>
          <w:sz w:val="20"/>
          <w:szCs w:val="20"/>
          <w:lang w:val="sq-AL"/>
        </w:rPr>
        <w:t xml:space="preserve">Fig. </w:t>
      </w:r>
      <w:r w:rsidRPr="00FA406F">
        <w:rPr>
          <w:rFonts w:asciiTheme="majorHAnsi" w:eastAsia="Batang" w:hAnsiTheme="majorHAnsi" w:cs="Arial"/>
          <w:b/>
          <w:sz w:val="20"/>
          <w:szCs w:val="20"/>
          <w:lang w:val="sq-AL"/>
        </w:rPr>
        <w:t>1 Tabel</w:t>
      </w:r>
      <w:r>
        <w:rPr>
          <w:rFonts w:asciiTheme="majorHAnsi" w:eastAsia="Batang" w:hAnsiTheme="majorHAnsi" w:cs="Arial"/>
          <w:b/>
          <w:sz w:val="20"/>
          <w:szCs w:val="20"/>
          <w:lang w:val="sq-AL"/>
        </w:rPr>
        <w:t>ë</w:t>
      </w:r>
      <w:r w:rsidRPr="00FA406F">
        <w:rPr>
          <w:rFonts w:asciiTheme="majorHAnsi" w:eastAsia="Batang" w:hAnsiTheme="majorHAnsi" w:cs="Arial"/>
          <w:b/>
          <w:sz w:val="20"/>
          <w:szCs w:val="20"/>
          <w:lang w:val="sq-AL"/>
        </w:rPr>
        <w:t xml:space="preserve"> krahasuese 2011/2012 e nivelit t</w:t>
      </w:r>
      <w:r>
        <w:rPr>
          <w:rFonts w:asciiTheme="majorHAnsi" w:eastAsia="Batang" w:hAnsiTheme="majorHAnsi" w:cs="Arial"/>
          <w:b/>
          <w:sz w:val="20"/>
          <w:szCs w:val="20"/>
          <w:lang w:val="sq-AL"/>
        </w:rPr>
        <w:t>ë</w:t>
      </w:r>
      <w:r w:rsidRPr="00FA406F">
        <w:rPr>
          <w:rFonts w:asciiTheme="majorHAnsi" w:eastAsia="Batang" w:hAnsiTheme="majorHAnsi" w:cs="Arial"/>
          <w:b/>
          <w:sz w:val="20"/>
          <w:szCs w:val="20"/>
          <w:lang w:val="sq-AL"/>
        </w:rPr>
        <w:t xml:space="preserve"> mbipopullimit n</w:t>
      </w:r>
      <w:r>
        <w:rPr>
          <w:rFonts w:asciiTheme="majorHAnsi" w:eastAsia="Batang" w:hAnsiTheme="majorHAnsi" w:cs="Arial"/>
          <w:b/>
          <w:sz w:val="20"/>
          <w:szCs w:val="20"/>
          <w:lang w:val="sq-AL"/>
        </w:rPr>
        <w:t>ë</w:t>
      </w:r>
      <w:r w:rsidRPr="00FA406F">
        <w:rPr>
          <w:rFonts w:asciiTheme="majorHAnsi" w:eastAsia="Batang" w:hAnsiTheme="majorHAnsi" w:cs="Arial"/>
          <w:b/>
          <w:sz w:val="20"/>
          <w:szCs w:val="20"/>
          <w:lang w:val="sq-AL"/>
        </w:rPr>
        <w:t xml:space="preserve"> IEVP</w:t>
      </w:r>
    </w:p>
    <w:tbl>
      <w:tblPr>
        <w:tblW w:w="10916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1559"/>
        <w:gridCol w:w="2835"/>
        <w:gridCol w:w="2268"/>
        <w:gridCol w:w="1843"/>
      </w:tblGrid>
      <w:tr w:rsidR="00CA5AB4" w:rsidRPr="00FA406F" w:rsidTr="00BE76E7">
        <w:trPr>
          <w:jc w:val="center"/>
        </w:trPr>
        <w:tc>
          <w:tcPr>
            <w:tcW w:w="2411" w:type="dxa"/>
            <w:shd w:val="clear" w:color="auto" w:fill="E5B8B7" w:themeFill="accent2" w:themeFillTint="66"/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b/>
                <w:sz w:val="20"/>
                <w:szCs w:val="20"/>
                <w:lang w:val="sq-AL"/>
              </w:rPr>
              <w:t>Viti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b/>
                <w:sz w:val="20"/>
                <w:szCs w:val="20"/>
                <w:lang w:val="sq-AL"/>
              </w:rPr>
              <w:t>Kapaciteti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b/>
                <w:sz w:val="20"/>
                <w:szCs w:val="20"/>
                <w:lang w:val="sq-AL"/>
              </w:rPr>
              <w:t>Burgosur të trajtuar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CA5AB4" w:rsidRPr="00FA406F" w:rsidRDefault="00CA5AB4" w:rsidP="00BE76E7">
            <w:pPr>
              <w:spacing w:after="0" w:line="240" w:lineRule="auto"/>
              <w:ind w:left="34" w:hanging="34"/>
              <w:jc w:val="center"/>
              <w:rPr>
                <w:rFonts w:asciiTheme="majorHAnsi" w:hAnsiTheme="majorHAnsi"/>
                <w:b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b/>
                <w:sz w:val="20"/>
                <w:szCs w:val="20"/>
                <w:lang w:val="sq-AL"/>
              </w:rPr>
              <w:t>Mbipopullimi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CA5AB4" w:rsidRPr="00FA406F" w:rsidRDefault="00CA5AB4" w:rsidP="00BE76E7">
            <w:pPr>
              <w:spacing w:after="0" w:line="240" w:lineRule="auto"/>
              <w:ind w:left="34" w:hanging="34"/>
              <w:jc w:val="center"/>
              <w:rPr>
                <w:rFonts w:asciiTheme="majorHAnsi" w:hAnsiTheme="majorHAnsi"/>
                <w:b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b/>
                <w:sz w:val="20"/>
                <w:szCs w:val="20"/>
                <w:lang w:val="sq-AL"/>
              </w:rPr>
              <w:t>Përqindja</w:t>
            </w:r>
          </w:p>
        </w:tc>
      </w:tr>
      <w:tr w:rsidR="00CA5AB4" w:rsidRPr="00FA406F" w:rsidTr="00BE76E7">
        <w:trPr>
          <w:jc w:val="center"/>
        </w:trPr>
        <w:tc>
          <w:tcPr>
            <w:tcW w:w="2411" w:type="dxa"/>
            <w:shd w:val="clear" w:color="auto" w:fill="F2DBDB" w:themeFill="accent2" w:themeFillTint="33"/>
          </w:tcPr>
          <w:p w:rsidR="00CA5AB4" w:rsidRPr="00FA406F" w:rsidRDefault="00CA5AB4" w:rsidP="00BE76E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b/>
                <w:sz w:val="20"/>
                <w:szCs w:val="20"/>
                <w:lang w:val="sq-AL"/>
              </w:rPr>
              <w:t>2011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sz w:val="20"/>
                <w:szCs w:val="20"/>
                <w:lang w:val="sq-AL"/>
              </w:rPr>
              <w:t>4417</w:t>
            </w:r>
          </w:p>
        </w:tc>
        <w:tc>
          <w:tcPr>
            <w:tcW w:w="2835" w:type="dxa"/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sz w:val="20"/>
                <w:szCs w:val="20"/>
                <w:lang w:val="sq-AL"/>
              </w:rPr>
              <w:t>4750</w:t>
            </w:r>
          </w:p>
        </w:tc>
        <w:tc>
          <w:tcPr>
            <w:tcW w:w="2268" w:type="dxa"/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sz w:val="20"/>
                <w:szCs w:val="20"/>
                <w:lang w:val="sq-AL"/>
              </w:rPr>
              <w:t>340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b/>
                <w:sz w:val="20"/>
                <w:szCs w:val="20"/>
                <w:lang w:val="sq-AL"/>
              </w:rPr>
              <w:t>7.7%</w:t>
            </w:r>
          </w:p>
        </w:tc>
      </w:tr>
      <w:tr w:rsidR="00CA5AB4" w:rsidRPr="00FA406F" w:rsidTr="00BE76E7">
        <w:trPr>
          <w:jc w:val="center"/>
        </w:trPr>
        <w:tc>
          <w:tcPr>
            <w:tcW w:w="2411" w:type="dxa"/>
            <w:shd w:val="clear" w:color="auto" w:fill="F2DBDB" w:themeFill="accent2" w:themeFillTint="33"/>
          </w:tcPr>
          <w:p w:rsidR="00CA5AB4" w:rsidRPr="00FA406F" w:rsidRDefault="00CA5AB4" w:rsidP="00BE76E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b/>
                <w:sz w:val="20"/>
                <w:szCs w:val="20"/>
                <w:lang w:val="sq-AL"/>
              </w:rPr>
              <w:t>Janar- Shtator 2012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sz w:val="20"/>
                <w:szCs w:val="20"/>
                <w:lang w:val="sq-AL"/>
              </w:rPr>
              <w:t>4417</w:t>
            </w:r>
          </w:p>
        </w:tc>
        <w:tc>
          <w:tcPr>
            <w:tcW w:w="2835" w:type="dxa"/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sz w:val="20"/>
                <w:szCs w:val="20"/>
                <w:lang w:val="sq-AL"/>
              </w:rPr>
              <w:t>4850</w:t>
            </w:r>
          </w:p>
        </w:tc>
        <w:tc>
          <w:tcPr>
            <w:tcW w:w="2268" w:type="dxa"/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sz w:val="20"/>
                <w:szCs w:val="20"/>
                <w:lang w:val="sq-AL"/>
              </w:rPr>
              <w:t>433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b/>
                <w:sz w:val="20"/>
                <w:szCs w:val="20"/>
                <w:lang w:val="sq-AL"/>
              </w:rPr>
              <w:t>9.8%</w:t>
            </w:r>
          </w:p>
        </w:tc>
      </w:tr>
      <w:tr w:rsidR="00CA5AB4" w:rsidRPr="00FA406F" w:rsidTr="00BE76E7">
        <w:trPr>
          <w:jc w:val="center"/>
        </w:trPr>
        <w:tc>
          <w:tcPr>
            <w:tcW w:w="2411" w:type="dxa"/>
            <w:shd w:val="clear" w:color="auto" w:fill="F2DBDB" w:themeFill="accent2" w:themeFillTint="33"/>
          </w:tcPr>
          <w:p w:rsidR="00CA5AB4" w:rsidRPr="00FA406F" w:rsidRDefault="00CA5AB4" w:rsidP="00BE76E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b/>
                <w:sz w:val="20"/>
                <w:szCs w:val="20"/>
                <w:lang w:val="sq-AL"/>
              </w:rPr>
              <w:t>Shtator  2012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sz w:val="20"/>
                <w:szCs w:val="20"/>
                <w:lang w:val="sq-AL"/>
              </w:rPr>
              <w:t>4417</w:t>
            </w:r>
          </w:p>
        </w:tc>
        <w:tc>
          <w:tcPr>
            <w:tcW w:w="2835" w:type="dxa"/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sz w:val="20"/>
                <w:szCs w:val="20"/>
                <w:lang w:val="sq-AL"/>
              </w:rPr>
              <w:t>4950</w:t>
            </w:r>
          </w:p>
        </w:tc>
        <w:tc>
          <w:tcPr>
            <w:tcW w:w="2268" w:type="dxa"/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sz w:val="20"/>
                <w:szCs w:val="20"/>
                <w:lang w:val="sq-AL"/>
              </w:rPr>
              <w:t>533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b/>
                <w:sz w:val="20"/>
                <w:szCs w:val="20"/>
                <w:lang w:val="sq-AL"/>
              </w:rPr>
              <w:t>12%</w:t>
            </w:r>
          </w:p>
        </w:tc>
      </w:tr>
      <w:tr w:rsidR="00CA5AB4" w:rsidRPr="00FA406F" w:rsidTr="00BE76E7">
        <w:trPr>
          <w:jc w:val="center"/>
        </w:trPr>
        <w:tc>
          <w:tcPr>
            <w:tcW w:w="2411" w:type="dxa"/>
            <w:shd w:val="clear" w:color="auto" w:fill="F2DBDB" w:themeFill="accent2" w:themeFillTint="33"/>
          </w:tcPr>
          <w:p w:rsidR="00CA5AB4" w:rsidRPr="00FA406F" w:rsidRDefault="00CA5AB4" w:rsidP="00BE76E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b/>
                <w:sz w:val="20"/>
                <w:szCs w:val="20"/>
                <w:lang w:val="sq-AL"/>
              </w:rPr>
              <w:t>Tetor  2012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sz w:val="20"/>
                <w:szCs w:val="20"/>
                <w:lang w:val="sq-AL"/>
              </w:rPr>
              <w:t>4537</w:t>
            </w:r>
          </w:p>
        </w:tc>
        <w:tc>
          <w:tcPr>
            <w:tcW w:w="2835" w:type="dxa"/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sz w:val="20"/>
                <w:szCs w:val="20"/>
                <w:lang w:val="sq-AL"/>
              </w:rPr>
              <w:t>4950</w:t>
            </w:r>
          </w:p>
        </w:tc>
        <w:tc>
          <w:tcPr>
            <w:tcW w:w="2268" w:type="dxa"/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sz w:val="20"/>
                <w:szCs w:val="20"/>
                <w:lang w:val="sq-AL"/>
              </w:rPr>
              <w:t>420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b/>
                <w:sz w:val="20"/>
                <w:szCs w:val="20"/>
                <w:lang w:val="sq-AL"/>
              </w:rPr>
              <w:t>9.1%</w:t>
            </w:r>
          </w:p>
        </w:tc>
      </w:tr>
      <w:tr w:rsidR="00CA5AB4" w:rsidRPr="00FA406F" w:rsidTr="00BE76E7">
        <w:trPr>
          <w:jc w:val="center"/>
        </w:trPr>
        <w:tc>
          <w:tcPr>
            <w:tcW w:w="2411" w:type="dxa"/>
            <w:shd w:val="clear" w:color="auto" w:fill="F2DBDB" w:themeFill="accent2" w:themeFillTint="33"/>
          </w:tcPr>
          <w:p w:rsidR="00CA5AB4" w:rsidRPr="00FA406F" w:rsidRDefault="00CA5AB4" w:rsidP="00BE76E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b/>
                <w:sz w:val="20"/>
                <w:szCs w:val="20"/>
                <w:lang w:val="sq-AL"/>
              </w:rPr>
              <w:t>Nëntor 2012(amnisti)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sz w:val="20"/>
                <w:szCs w:val="20"/>
                <w:lang w:val="sq-AL"/>
              </w:rPr>
              <w:t>4537</w:t>
            </w:r>
          </w:p>
        </w:tc>
        <w:tc>
          <w:tcPr>
            <w:tcW w:w="2835" w:type="dxa"/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sz w:val="20"/>
                <w:szCs w:val="20"/>
                <w:lang w:val="sq-AL"/>
              </w:rPr>
              <w:t>4610</w:t>
            </w:r>
          </w:p>
        </w:tc>
        <w:tc>
          <w:tcPr>
            <w:tcW w:w="2268" w:type="dxa"/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sz w:val="20"/>
                <w:szCs w:val="20"/>
                <w:lang w:val="sq-AL"/>
              </w:rPr>
              <w:t>73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CA5AB4" w:rsidRPr="00FA406F" w:rsidRDefault="00CA5AB4" w:rsidP="00BE76E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sq-AL"/>
              </w:rPr>
            </w:pPr>
            <w:r w:rsidRPr="00FA406F">
              <w:rPr>
                <w:rFonts w:asciiTheme="majorHAnsi" w:hAnsiTheme="majorHAnsi"/>
                <w:b/>
                <w:sz w:val="20"/>
                <w:szCs w:val="20"/>
                <w:lang w:val="sq-AL"/>
              </w:rPr>
              <w:t>1.6%</w:t>
            </w:r>
          </w:p>
        </w:tc>
      </w:tr>
    </w:tbl>
    <w:p w:rsidR="00CA5AB4" w:rsidRDefault="00CA5AB4" w:rsidP="00CA5AB4">
      <w:pPr>
        <w:spacing w:after="0"/>
        <w:contextualSpacing/>
        <w:jc w:val="both"/>
        <w:rPr>
          <w:rFonts w:asciiTheme="majorHAnsi" w:eastAsia="Batang" w:hAnsiTheme="majorHAnsi" w:cs="Arial"/>
          <w:sz w:val="24"/>
          <w:szCs w:val="24"/>
          <w:lang w:val="sq-AL"/>
        </w:rPr>
      </w:pPr>
    </w:p>
    <w:p w:rsidR="00CA5AB4" w:rsidRPr="00FA406F" w:rsidRDefault="00CA5AB4" w:rsidP="00CA5AB4">
      <w:pPr>
        <w:spacing w:after="0"/>
        <w:contextualSpacing/>
        <w:jc w:val="both"/>
        <w:rPr>
          <w:rFonts w:asciiTheme="majorHAnsi" w:eastAsia="Batang" w:hAnsiTheme="majorHAnsi" w:cs="Arial"/>
          <w:sz w:val="24"/>
          <w:szCs w:val="24"/>
          <w:lang w:val="sq-AL"/>
        </w:rPr>
      </w:pP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Miratimi i ligjit nr. 107 datë 08/11/2012 “Për dhënie amnistie”, ku 512 persona me liri të kufizuar u përjashtuan nga ndjekja penale, vuajtja tërësisht ose pjesërisht e dënimit, ndikuan ndjeshëm n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uljen e mbipopullimit n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burgje, i cili shkoi në 73 persona mbi kapacitet, ose e shprehur n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p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rqindje 1.6%. Sipas 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dhënave gjat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vitit 2012, janë trajtuar një numër më i madh të burgosurish në krahasim me vitin 2011. Mbipopullimi deri në muajin nëntor 2012, ka qenë 2.22% më i lart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në krahasim me vitin 2011. Me realizimin e objektivit 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vënies në funksion të IEVP Elbasan dhe zbatimit të ligjit për amnistinë, mbipopullimi shkoi drejt eliminimit ose ulur me 6.36% në raport me vitin 2011.</w:t>
      </w:r>
    </w:p>
    <w:p w:rsidR="00CA5AB4" w:rsidRDefault="00CA5AB4" w:rsidP="00CA5AB4">
      <w:pPr>
        <w:spacing w:after="0"/>
        <w:contextualSpacing/>
        <w:jc w:val="center"/>
        <w:rPr>
          <w:rFonts w:asciiTheme="majorHAnsi" w:eastAsia="Batang" w:hAnsiTheme="majorHAnsi" w:cs="Arial"/>
          <w:b/>
          <w:sz w:val="20"/>
          <w:szCs w:val="20"/>
          <w:lang w:val="sq-AL"/>
        </w:rPr>
      </w:pPr>
    </w:p>
    <w:p w:rsidR="00CA5AB4" w:rsidRDefault="00CA5AB4" w:rsidP="00CA5AB4">
      <w:pPr>
        <w:spacing w:after="0"/>
        <w:contextualSpacing/>
        <w:jc w:val="both"/>
        <w:rPr>
          <w:rFonts w:asciiTheme="majorHAnsi" w:eastAsia="Batang" w:hAnsiTheme="majorHAnsi" w:cs="Arial"/>
          <w:sz w:val="24"/>
          <w:szCs w:val="24"/>
          <w:lang w:val="sq-AL"/>
        </w:rPr>
      </w:pPr>
      <w:r w:rsidRPr="00FA406F">
        <w:rPr>
          <w:rFonts w:asciiTheme="majorHAnsi" w:eastAsia="Batang" w:hAnsiTheme="majorHAnsi" w:cs="Arial"/>
          <w:b/>
          <w:i/>
          <w:sz w:val="24"/>
          <w:szCs w:val="24"/>
          <w:u w:val="single"/>
          <w:lang w:val="sq-AL"/>
        </w:rPr>
        <w:t>Indikatori 2: Shërbimi shëndetësor ndaj të dënuarve dhe paraburgosurve: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Çdo mjek realizon 176 orë punë në muaj. Kjo do të thotë, që të dënuarve dhe paraburgosurve u ofrohet 10.9 orë në muaj shërbim shëndetësor. Krahasuar me vitin 2012, vihet re buxhet m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i ul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t p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r shërbimin sh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ndet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sor. Bazuar në VKM nr. 337 datë 06/04/2011, Ministria e Drejtësisë dhe Ministria e Shëndetësisë gjatë muajit maj 2012 kanë firmosur 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lastRenderedPageBreak/>
        <w:t>udhëzimin e përbashkët “Për mbulimin e të dënuarve me burgim dhe të paraburgosurve në skemën e sigurimeve shëndetësore, të detyrueshëm”. Në kuptim të ligjit nr. 7870 datë 13.10.1994 “Për sigurimet shëndetësore në Republikën e Shqipërisë”, kontributi në fondin e sigurimeve shëndetësore për personat me liri të kufizuar, paguhet nga shteti, në përputhje të nenit 34 të ligjit të sipërpërmendur, duke ulur n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k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m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nyr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shpenzimet buxhetore 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sistemit 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burgjeve, sa i takon furnizimit me medikamente. </w:t>
      </w:r>
    </w:p>
    <w:p w:rsidR="00CA5AB4" w:rsidRPr="00FA406F" w:rsidRDefault="00CA5AB4" w:rsidP="00CA5AB4">
      <w:pPr>
        <w:spacing w:after="0"/>
        <w:contextualSpacing/>
        <w:jc w:val="both"/>
        <w:rPr>
          <w:rFonts w:asciiTheme="majorHAnsi" w:eastAsia="Batang" w:hAnsiTheme="majorHAnsi" w:cs="Arial"/>
          <w:sz w:val="24"/>
          <w:szCs w:val="24"/>
          <w:lang w:val="sq-AL"/>
        </w:rPr>
      </w:pPr>
    </w:p>
    <w:p w:rsidR="00CA5AB4" w:rsidRDefault="00CA5AB4" w:rsidP="00CA5AB4">
      <w:pPr>
        <w:spacing w:after="0"/>
        <w:contextualSpacing/>
        <w:jc w:val="both"/>
        <w:rPr>
          <w:rFonts w:asciiTheme="majorHAnsi" w:eastAsia="Batang" w:hAnsiTheme="majorHAnsi" w:cs="Arial"/>
          <w:sz w:val="24"/>
          <w:szCs w:val="24"/>
          <w:lang w:val="sq-AL"/>
        </w:rPr>
      </w:pP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Drejtoria e Përgjithshme e Burgjeve në bashkëpunim me Institutin e Sigurimeve të Kujdesit Shëndetësor, bazuar në udhëzimin e dy ministrive,  realizuan për herë të parë në Sistemin e Burgjeve pajisjen me librezë shëndetësore personat e dënuar që janë të diagnostifikuar me Sklerozë </w:t>
      </w:r>
      <w:proofErr w:type="spellStart"/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Multiple</w:t>
      </w:r>
      <w:proofErr w:type="spellEnd"/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. Me shkresë nr 1667/1 datë 06/07/2012 Instituti i Sigurimeve të Kujdesit Shëndetësor, informon Drejtorinë e Përgjithshme e Burgjeve se: Mjekët e shërbimit të neurologjisë në QSUT, të cilët kanë kontratë me ISKSH, do të vizitojnë personat që kanë diagnozën “</w:t>
      </w:r>
      <w:r w:rsidRPr="00E45A6C">
        <w:rPr>
          <w:rFonts w:asciiTheme="majorHAnsi" w:eastAsia="Batang" w:hAnsiTheme="majorHAnsi" w:cs="Arial"/>
          <w:i/>
          <w:sz w:val="24"/>
          <w:szCs w:val="24"/>
          <w:lang w:val="sq-AL"/>
        </w:rPr>
        <w:t xml:space="preserve">Skleroze </w:t>
      </w:r>
      <w:proofErr w:type="spellStart"/>
      <w:r w:rsidRPr="00E45A6C">
        <w:rPr>
          <w:rFonts w:asciiTheme="majorHAnsi" w:eastAsia="Batang" w:hAnsiTheme="majorHAnsi" w:cs="Arial"/>
          <w:i/>
          <w:sz w:val="24"/>
          <w:szCs w:val="24"/>
          <w:lang w:val="sq-AL"/>
        </w:rPr>
        <w:t>multiple</w:t>
      </w:r>
      <w:proofErr w:type="spellEnd"/>
      <w:r w:rsidRPr="00E45A6C">
        <w:rPr>
          <w:rFonts w:asciiTheme="majorHAnsi" w:eastAsia="Batang" w:hAnsiTheme="majorHAnsi" w:cs="Arial"/>
          <w:i/>
          <w:sz w:val="24"/>
          <w:szCs w:val="24"/>
          <w:lang w:val="sq-AL"/>
        </w:rPr>
        <w:t>’’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, për lëshimin e recetës me rimbursim për medikamentin </w:t>
      </w:r>
      <w:proofErr w:type="spellStart"/>
      <w:r w:rsidRPr="00FA406F">
        <w:rPr>
          <w:rFonts w:asciiTheme="majorHAnsi" w:eastAsia="Batang" w:hAnsiTheme="majorHAnsi" w:cs="Arial"/>
          <w:i/>
          <w:sz w:val="24"/>
          <w:szCs w:val="24"/>
          <w:lang w:val="sq-AL"/>
        </w:rPr>
        <w:t>betainterferon</w:t>
      </w:r>
      <w:proofErr w:type="spellEnd"/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dhe do të merret në fa</w:t>
      </w:r>
      <w:r>
        <w:rPr>
          <w:rFonts w:asciiTheme="majorHAnsi" w:eastAsia="Batang" w:hAnsiTheme="majorHAnsi" w:cs="Arial"/>
          <w:sz w:val="24"/>
          <w:szCs w:val="24"/>
          <w:lang w:val="sq-AL"/>
        </w:rPr>
        <w:t>rmacinë e QSUT “Nënë Tereza’’. 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shtë hartuar me ISKSH draft kontrata dy palëshe e cila konfirmon bazat e veprimtarisë së infrastrukturës dokumentare dhe zbatimit të skemës së sigurimeve shëndetësore në gjithë sistemin e burgjeve. </w:t>
      </w:r>
      <w:r>
        <w:rPr>
          <w:rFonts w:asciiTheme="majorHAnsi" w:eastAsia="Batang" w:hAnsiTheme="majorHAnsi" w:cs="Arial"/>
          <w:sz w:val="24"/>
          <w:szCs w:val="24"/>
          <w:lang w:val="sq-AL"/>
        </w:rPr>
        <w:t xml:space="preserve"> </w:t>
      </w:r>
    </w:p>
    <w:p w:rsidR="00CA5AB4" w:rsidRPr="00FA406F" w:rsidRDefault="00CA5AB4" w:rsidP="00CA5AB4">
      <w:pPr>
        <w:spacing w:after="0"/>
        <w:contextualSpacing/>
        <w:jc w:val="both"/>
        <w:rPr>
          <w:rFonts w:asciiTheme="majorHAnsi" w:eastAsia="Batang" w:hAnsiTheme="majorHAnsi" w:cs="Arial"/>
          <w:b/>
          <w:i/>
          <w:sz w:val="24"/>
          <w:szCs w:val="24"/>
          <w:u w:val="single"/>
          <w:lang w:val="sq-AL"/>
        </w:rPr>
      </w:pPr>
    </w:p>
    <w:p w:rsidR="00CA5AB4" w:rsidRPr="00FA406F" w:rsidRDefault="00CA5AB4" w:rsidP="00CA5AB4">
      <w:pPr>
        <w:spacing w:after="0"/>
        <w:contextualSpacing/>
        <w:jc w:val="both"/>
        <w:rPr>
          <w:rFonts w:asciiTheme="majorHAnsi" w:eastAsia="Batang" w:hAnsiTheme="majorHAnsi" w:cs="Arial"/>
          <w:sz w:val="24"/>
          <w:szCs w:val="24"/>
          <w:lang w:val="sq-AL"/>
        </w:rPr>
      </w:pPr>
      <w:r w:rsidRPr="00FA406F">
        <w:rPr>
          <w:rFonts w:asciiTheme="majorHAnsi" w:eastAsia="Batang" w:hAnsiTheme="majorHAnsi" w:cs="Arial"/>
          <w:b/>
          <w:i/>
          <w:sz w:val="24"/>
          <w:szCs w:val="24"/>
          <w:u w:val="single"/>
          <w:lang w:val="sq-AL"/>
        </w:rPr>
        <w:t>Indikatori 3: Raporti të burgosur 1 polic: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</w:t>
      </w:r>
      <w:r>
        <w:rPr>
          <w:rFonts w:asciiTheme="majorHAnsi" w:eastAsia="Batang" w:hAnsiTheme="majorHAnsi" w:cs="Arial"/>
          <w:sz w:val="24"/>
          <w:szCs w:val="24"/>
          <w:lang w:val="sq-AL"/>
        </w:rPr>
        <w:t xml:space="preserve"> 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Ka p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rmir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sim 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indikatorit 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burgosur/polic. Duke ju referuar këtij indikatori, për periudhën janar-shtator 2012 rezulton </w:t>
      </w:r>
      <w:r w:rsidRPr="00534CF6">
        <w:rPr>
          <w:rFonts w:asciiTheme="majorHAnsi" w:eastAsia="Batang" w:hAnsiTheme="majorHAnsi" w:cs="Arial"/>
          <w:b/>
          <w:sz w:val="24"/>
          <w:szCs w:val="24"/>
          <w:lang w:val="sq-AL"/>
        </w:rPr>
        <w:t>1.67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dhe pas hapjes së IEVP Elbasan dhe zbatimit të Ligjit për amnistinë raporti i burgosur polic shkon në </w:t>
      </w:r>
      <w:r w:rsidRPr="00534CF6">
        <w:rPr>
          <w:rFonts w:asciiTheme="majorHAnsi" w:eastAsia="Batang" w:hAnsiTheme="majorHAnsi" w:cs="Arial"/>
          <w:b/>
          <w:sz w:val="24"/>
          <w:szCs w:val="24"/>
          <w:lang w:val="sq-AL"/>
        </w:rPr>
        <w:t>1.56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, për numër të burgosurish të trajtuar. Në krahasim me vitin 2011 raporti të burgosur/polic ka p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suar nd</w:t>
      </w:r>
      <w:r>
        <w:rPr>
          <w:rFonts w:asciiTheme="majorHAnsi" w:eastAsia="Batang" w:hAnsiTheme="majorHAnsi" w:cs="Arial"/>
          <w:sz w:val="24"/>
          <w:szCs w:val="24"/>
          <w:lang w:val="sq-AL"/>
        </w:rPr>
        <w:t>r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yshim dhe 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sht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ulur si </w:t>
      </w:r>
      <w:proofErr w:type="spellStart"/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ko</w:t>
      </w:r>
      <w:r>
        <w:rPr>
          <w:rFonts w:asciiTheme="majorHAnsi" w:eastAsia="Batang" w:hAnsiTheme="majorHAnsi" w:cs="Arial"/>
          <w:sz w:val="24"/>
          <w:szCs w:val="24"/>
          <w:lang w:val="sq-AL"/>
        </w:rPr>
        <w:t>i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fiçent</w:t>
      </w:r>
      <w:proofErr w:type="spellEnd"/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pasi, numri i punonjësve të Policisë s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Burgjeve ndryshoi</w:t>
      </w:r>
      <w:r>
        <w:rPr>
          <w:rFonts w:asciiTheme="majorHAnsi" w:eastAsia="Batang" w:hAnsiTheme="majorHAnsi" w:cs="Arial"/>
          <w:sz w:val="24"/>
          <w:szCs w:val="24"/>
          <w:lang w:val="sq-AL"/>
        </w:rPr>
        <w:t xml:space="preserve"> nga 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2944 punonjës sigurie për vitin 2011, në 2950 punonjës sigurie, për shkak të hapjes dhe vënies në efiçensë të IEVP Elbasan, por dhe të zbatimit të ligjit për amnistinë i cili ndikoi në uljen e numrit të dënuarve të trajtuar.  </w:t>
      </w:r>
    </w:p>
    <w:p w:rsidR="00CA5AB4" w:rsidRPr="00FA406F" w:rsidRDefault="00CA5AB4" w:rsidP="00CA5AB4">
      <w:pPr>
        <w:spacing w:after="0"/>
        <w:contextualSpacing/>
        <w:jc w:val="both"/>
        <w:rPr>
          <w:rFonts w:asciiTheme="majorHAnsi" w:eastAsia="Batang" w:hAnsiTheme="majorHAnsi" w:cs="Arial"/>
          <w:sz w:val="24"/>
          <w:szCs w:val="24"/>
          <w:lang w:val="sq-AL"/>
        </w:rPr>
      </w:pPr>
    </w:p>
    <w:p w:rsidR="00CA5AB4" w:rsidRPr="00FA406F" w:rsidRDefault="00CA5AB4" w:rsidP="00CA5AB4">
      <w:pPr>
        <w:spacing w:after="0"/>
        <w:contextualSpacing/>
        <w:jc w:val="both"/>
        <w:rPr>
          <w:rFonts w:asciiTheme="majorHAnsi" w:eastAsia="Batang" w:hAnsiTheme="majorHAnsi" w:cs="Arial"/>
          <w:sz w:val="24"/>
          <w:szCs w:val="24"/>
          <w:lang w:val="sq-AL"/>
        </w:rPr>
      </w:pPr>
      <w:r w:rsidRPr="00FA406F">
        <w:rPr>
          <w:rFonts w:asciiTheme="majorHAnsi" w:eastAsia="Batang" w:hAnsiTheme="majorHAnsi" w:cs="Arial"/>
          <w:b/>
          <w:i/>
          <w:sz w:val="24"/>
          <w:szCs w:val="24"/>
          <w:u w:val="single"/>
          <w:lang w:val="sq-AL"/>
        </w:rPr>
        <w:t>Indikatori 4: Numri i arratisjeve nga IEVP:</w:t>
      </w:r>
      <w:r w:rsidRPr="00FA406F">
        <w:rPr>
          <w:rFonts w:asciiTheme="majorHAnsi" w:eastAsia="Batang" w:hAnsiTheme="majorHAnsi" w:cs="Arial"/>
          <w:b/>
          <w:i/>
          <w:sz w:val="24"/>
          <w:szCs w:val="24"/>
          <w:lang w:val="sq-AL"/>
        </w:rPr>
        <w:t xml:space="preserve">  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Gjat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2012 nuk ka pasur të arratisur nga sistemi i burgjeve. </w:t>
      </w:r>
      <w:r>
        <w:rPr>
          <w:rFonts w:asciiTheme="majorHAnsi" w:eastAsia="Batang" w:hAnsiTheme="majorHAnsi" w:cs="Arial"/>
          <w:sz w:val="24"/>
          <w:szCs w:val="24"/>
          <w:lang w:val="sq-AL"/>
        </w:rPr>
        <w:t xml:space="preserve"> Tentativa për arratisje janë shënuar 2 raste, kundrejt 8 rasteve në vitin 2011. </w:t>
      </w:r>
    </w:p>
    <w:p w:rsidR="00CA5AB4" w:rsidRPr="00FA406F" w:rsidRDefault="00CA5AB4" w:rsidP="00CA5AB4">
      <w:pPr>
        <w:spacing w:after="0"/>
        <w:contextualSpacing/>
        <w:rPr>
          <w:rFonts w:asciiTheme="majorHAnsi" w:eastAsia="Batang" w:hAnsiTheme="majorHAnsi" w:cs="Arial"/>
          <w:b/>
          <w:sz w:val="24"/>
          <w:szCs w:val="24"/>
          <w:lang w:val="sq-AL"/>
        </w:rPr>
      </w:pPr>
    </w:p>
    <w:p w:rsidR="00CA5AB4" w:rsidRPr="00FA406F" w:rsidRDefault="00CA5AB4" w:rsidP="00CA5AB4">
      <w:pPr>
        <w:spacing w:after="0"/>
        <w:contextualSpacing/>
        <w:jc w:val="both"/>
        <w:rPr>
          <w:rFonts w:asciiTheme="majorHAnsi" w:eastAsia="Batang" w:hAnsiTheme="majorHAnsi" w:cs="Arial"/>
          <w:sz w:val="24"/>
          <w:szCs w:val="24"/>
          <w:lang w:val="sq-AL"/>
        </w:rPr>
      </w:pPr>
      <w:r w:rsidRPr="00FA406F">
        <w:rPr>
          <w:rFonts w:asciiTheme="majorHAnsi" w:eastAsia="Batang" w:hAnsiTheme="majorHAnsi" w:cs="Arial"/>
          <w:b/>
          <w:i/>
          <w:sz w:val="24"/>
          <w:szCs w:val="24"/>
          <w:u w:val="single"/>
          <w:lang w:val="sq-AL"/>
        </w:rPr>
        <w:t>Indikatori 5: Përqindja e sipërfaqeve të IEVP të monitoruara më sisteme kamerizimi bashkëkohore: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Sip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rfaqja e survejimit të territorit të IEVP me kamera ka p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suar nj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rritje 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leht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prej </w:t>
      </w:r>
      <w:r w:rsidRPr="00534CF6">
        <w:rPr>
          <w:rFonts w:asciiTheme="majorHAnsi" w:eastAsia="Batang" w:hAnsiTheme="majorHAnsi" w:cs="Arial"/>
          <w:b/>
          <w:sz w:val="24"/>
          <w:szCs w:val="24"/>
          <w:lang w:val="sq-AL"/>
        </w:rPr>
        <w:t>2%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krahasuar me vitin 2011, pra nga </w:t>
      </w:r>
      <w:r w:rsidRPr="00534CF6">
        <w:rPr>
          <w:rFonts w:asciiTheme="majorHAnsi" w:eastAsia="Batang" w:hAnsiTheme="majorHAnsi" w:cs="Arial"/>
          <w:b/>
          <w:sz w:val="24"/>
          <w:szCs w:val="24"/>
          <w:lang w:val="sq-AL"/>
        </w:rPr>
        <w:t>78%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ka shkuar n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</w:t>
      </w:r>
      <w:r w:rsidRPr="00534CF6">
        <w:rPr>
          <w:rFonts w:asciiTheme="majorHAnsi" w:eastAsia="Batang" w:hAnsiTheme="majorHAnsi" w:cs="Arial"/>
          <w:b/>
          <w:sz w:val="24"/>
          <w:szCs w:val="24"/>
          <w:lang w:val="sq-AL"/>
        </w:rPr>
        <w:t>80%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n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vitin 2012. 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Ësh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të realizuar shërbimi për sistemin e kamerave në të gjitha IEVP. N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paraburgimin e Vlor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s është instaluar nj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sistem i ri prej 42 kamerash. Sisteme kamerizimi janë instaluar n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IEVP Sarandë, Kukës, Tropojë. Është ndjekur kontrata për paraburgimin e Elbasanit, ku është ndryshuar projekti i sistemit te kamerizimit dhe është përshtatur me kërkesat aktuale që kanë institucionet. N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nj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jt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n koh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, 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sht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kryer trajnimi i stafit 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këtij institucioni, si dhe janë v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n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efiçens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të plotë 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gjithë sistemeve 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IEVP Elbasan si telefoni e brendshme, skaner, metal detektor, antenë 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lastRenderedPageBreak/>
        <w:t xml:space="preserve">televizive universale, sistem </w:t>
      </w:r>
      <w:proofErr w:type="spellStart"/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fonie</w:t>
      </w:r>
      <w:proofErr w:type="spellEnd"/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qeli – oficer informacioni etj. Situata e sipërfaqes së territorit të survejuar çdo kohë me kamera, gjat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vitit 2012 paraqitet si më poshtë, në varësi të mbulimit të sipërfaqes ku kryhet aktiviteti ditor, përjashto tualetet dhe qelitë. </w:t>
      </w:r>
    </w:p>
    <w:p w:rsidR="00CA5AB4" w:rsidRPr="00FA406F" w:rsidRDefault="00CA5AB4" w:rsidP="00CA5AB4">
      <w:pPr>
        <w:spacing w:after="0"/>
        <w:contextualSpacing/>
        <w:jc w:val="center"/>
        <w:rPr>
          <w:rFonts w:asciiTheme="majorHAnsi" w:eastAsia="Batang" w:hAnsiTheme="majorHAnsi" w:cs="Arial"/>
          <w:b/>
          <w:sz w:val="20"/>
          <w:szCs w:val="20"/>
          <w:lang w:val="sq-AL"/>
        </w:rPr>
      </w:pPr>
    </w:p>
    <w:p w:rsidR="00CA5AB4" w:rsidRPr="00FA406F" w:rsidRDefault="00CA5AB4" w:rsidP="00CA5AB4">
      <w:pPr>
        <w:spacing w:after="0"/>
        <w:contextualSpacing/>
        <w:jc w:val="center"/>
        <w:rPr>
          <w:rFonts w:asciiTheme="majorHAnsi" w:eastAsia="Batang" w:hAnsiTheme="majorHAnsi" w:cs="Arial"/>
          <w:b/>
          <w:sz w:val="20"/>
          <w:szCs w:val="20"/>
          <w:lang w:val="sq-AL"/>
        </w:rPr>
      </w:pPr>
      <w:r>
        <w:rPr>
          <w:rFonts w:asciiTheme="majorHAnsi" w:eastAsia="Batang" w:hAnsiTheme="majorHAnsi" w:cs="Arial"/>
          <w:b/>
          <w:sz w:val="20"/>
          <w:szCs w:val="20"/>
          <w:lang w:val="sq-AL"/>
        </w:rPr>
        <w:t xml:space="preserve">Fig. </w:t>
      </w:r>
      <w:r w:rsidRPr="00FA406F">
        <w:rPr>
          <w:rFonts w:asciiTheme="majorHAnsi" w:eastAsia="Batang" w:hAnsiTheme="majorHAnsi" w:cs="Arial"/>
          <w:b/>
          <w:sz w:val="20"/>
          <w:szCs w:val="20"/>
          <w:lang w:val="sq-AL"/>
        </w:rPr>
        <w:t>2 P</w:t>
      </w:r>
      <w:r>
        <w:rPr>
          <w:rFonts w:asciiTheme="majorHAnsi" w:eastAsia="Batang" w:hAnsiTheme="majorHAnsi" w:cs="Arial"/>
          <w:b/>
          <w:sz w:val="20"/>
          <w:szCs w:val="20"/>
          <w:lang w:val="sq-AL"/>
        </w:rPr>
        <w:t>ë</w:t>
      </w:r>
      <w:r w:rsidRPr="00FA406F">
        <w:rPr>
          <w:rFonts w:asciiTheme="majorHAnsi" w:eastAsia="Batang" w:hAnsiTheme="majorHAnsi" w:cs="Arial"/>
          <w:b/>
          <w:sz w:val="20"/>
          <w:szCs w:val="20"/>
          <w:lang w:val="sq-AL"/>
        </w:rPr>
        <w:t>rqindja e sipërfaqeve t</w:t>
      </w:r>
      <w:r>
        <w:rPr>
          <w:rFonts w:asciiTheme="majorHAnsi" w:eastAsia="Batang" w:hAnsiTheme="majorHAnsi" w:cs="Arial"/>
          <w:b/>
          <w:sz w:val="20"/>
          <w:szCs w:val="20"/>
          <w:lang w:val="sq-AL"/>
        </w:rPr>
        <w:t>ë</w:t>
      </w:r>
      <w:r w:rsidRPr="00FA406F">
        <w:rPr>
          <w:rFonts w:asciiTheme="majorHAnsi" w:eastAsia="Batang" w:hAnsiTheme="majorHAnsi" w:cs="Arial"/>
          <w:b/>
          <w:sz w:val="20"/>
          <w:szCs w:val="20"/>
          <w:lang w:val="sq-AL"/>
        </w:rPr>
        <w:t xml:space="preserve"> monitoruara me sisteme kamerizimi sipas IEVP n</w:t>
      </w:r>
      <w:r>
        <w:rPr>
          <w:rFonts w:asciiTheme="majorHAnsi" w:eastAsia="Batang" w:hAnsiTheme="majorHAnsi" w:cs="Arial"/>
          <w:b/>
          <w:sz w:val="20"/>
          <w:szCs w:val="20"/>
          <w:lang w:val="sq-AL"/>
        </w:rPr>
        <w:t>ë</w:t>
      </w:r>
      <w:r w:rsidRPr="00FA406F">
        <w:rPr>
          <w:rFonts w:asciiTheme="majorHAnsi" w:eastAsia="Batang" w:hAnsiTheme="majorHAnsi" w:cs="Arial"/>
          <w:b/>
          <w:sz w:val="20"/>
          <w:szCs w:val="20"/>
          <w:lang w:val="sq-AL"/>
        </w:rPr>
        <w:t xml:space="preserve"> 2012</w:t>
      </w:r>
    </w:p>
    <w:tbl>
      <w:tblPr>
        <w:tblStyle w:val="TableGrid"/>
        <w:tblW w:w="10207" w:type="dxa"/>
        <w:tblInd w:w="-176" w:type="dxa"/>
        <w:tblLayout w:type="fixed"/>
        <w:tblLook w:val="04A0"/>
      </w:tblPr>
      <w:tblGrid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551"/>
        <w:gridCol w:w="567"/>
        <w:gridCol w:w="567"/>
        <w:gridCol w:w="567"/>
      </w:tblGrid>
      <w:tr w:rsidR="00CA5AB4" w:rsidRPr="00FA406F" w:rsidTr="00BE76E7">
        <w:trPr>
          <w:cantSplit/>
          <w:trHeight w:val="1134"/>
        </w:trPr>
        <w:tc>
          <w:tcPr>
            <w:tcW w:w="441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Peqin</w:t>
            </w:r>
          </w:p>
        </w:tc>
        <w:tc>
          <w:tcPr>
            <w:tcW w:w="442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Lezh</w:t>
            </w:r>
            <w:r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ë</w:t>
            </w:r>
          </w:p>
        </w:tc>
        <w:tc>
          <w:tcPr>
            <w:tcW w:w="442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Burrel</w:t>
            </w:r>
          </w:p>
        </w:tc>
        <w:tc>
          <w:tcPr>
            <w:tcW w:w="442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Kruj</w:t>
            </w:r>
            <w:r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ë</w:t>
            </w:r>
          </w:p>
        </w:tc>
        <w:tc>
          <w:tcPr>
            <w:tcW w:w="442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Rrogozhin</w:t>
            </w:r>
            <w:r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ë</w:t>
            </w:r>
          </w:p>
        </w:tc>
        <w:tc>
          <w:tcPr>
            <w:tcW w:w="442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Lushnj</w:t>
            </w:r>
            <w:r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ë</w:t>
            </w:r>
          </w:p>
        </w:tc>
        <w:tc>
          <w:tcPr>
            <w:tcW w:w="442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Tepelen</w:t>
            </w:r>
            <w:r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ë</w:t>
            </w:r>
          </w:p>
        </w:tc>
        <w:tc>
          <w:tcPr>
            <w:tcW w:w="442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proofErr w:type="spellStart"/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Ali</w:t>
            </w:r>
            <w:proofErr w:type="spellEnd"/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 xml:space="preserve"> Demi</w:t>
            </w:r>
          </w:p>
        </w:tc>
        <w:tc>
          <w:tcPr>
            <w:tcW w:w="442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proofErr w:type="spellStart"/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Spiali</w:t>
            </w:r>
            <w:proofErr w:type="spellEnd"/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 xml:space="preserve"> i Burgut</w:t>
            </w:r>
          </w:p>
        </w:tc>
        <w:tc>
          <w:tcPr>
            <w:tcW w:w="442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proofErr w:type="spellStart"/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Jordan</w:t>
            </w:r>
            <w:proofErr w:type="spellEnd"/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MIsja</w:t>
            </w:r>
            <w:proofErr w:type="spellEnd"/>
          </w:p>
        </w:tc>
        <w:tc>
          <w:tcPr>
            <w:tcW w:w="442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Mine Peza</w:t>
            </w:r>
          </w:p>
        </w:tc>
        <w:tc>
          <w:tcPr>
            <w:tcW w:w="442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Vlora</w:t>
            </w:r>
          </w:p>
        </w:tc>
        <w:tc>
          <w:tcPr>
            <w:tcW w:w="442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proofErr w:type="spellStart"/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Kavaja</w:t>
            </w:r>
            <w:proofErr w:type="spellEnd"/>
          </w:p>
        </w:tc>
        <w:tc>
          <w:tcPr>
            <w:tcW w:w="442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Korçë</w:t>
            </w:r>
          </w:p>
        </w:tc>
        <w:tc>
          <w:tcPr>
            <w:tcW w:w="442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Fush</w:t>
            </w:r>
            <w:r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ë</w:t>
            </w:r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 xml:space="preserve"> Kruj</w:t>
            </w:r>
            <w:r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ë</w:t>
            </w:r>
          </w:p>
        </w:tc>
        <w:tc>
          <w:tcPr>
            <w:tcW w:w="442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Durr</w:t>
            </w:r>
            <w:r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ë</w:t>
            </w:r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s</w:t>
            </w:r>
          </w:p>
        </w:tc>
        <w:tc>
          <w:tcPr>
            <w:tcW w:w="442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Berat</w:t>
            </w:r>
          </w:p>
        </w:tc>
        <w:tc>
          <w:tcPr>
            <w:tcW w:w="442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Sarand</w:t>
            </w:r>
            <w:r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ë</w:t>
            </w:r>
          </w:p>
        </w:tc>
        <w:tc>
          <w:tcPr>
            <w:tcW w:w="551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Elbasan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Kuk</w:t>
            </w:r>
            <w:r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ë</w:t>
            </w:r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s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Tropoj</w:t>
            </w:r>
            <w:r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ë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textDirection w:val="btLr"/>
          </w:tcPr>
          <w:p w:rsidR="00CA5AB4" w:rsidRPr="00007906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007906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Vaqarr</w:t>
            </w:r>
          </w:p>
        </w:tc>
      </w:tr>
      <w:tr w:rsidR="00CA5AB4" w:rsidRPr="00FA406F" w:rsidTr="00BE76E7">
        <w:trPr>
          <w:cantSplit/>
          <w:trHeight w:val="806"/>
        </w:trPr>
        <w:tc>
          <w:tcPr>
            <w:tcW w:w="441" w:type="dxa"/>
            <w:vMerge/>
            <w:shd w:val="clear" w:color="auto" w:fill="C6D9F1" w:themeFill="text2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  <w:tc>
          <w:tcPr>
            <w:tcW w:w="442" w:type="dxa"/>
            <w:vMerge/>
            <w:shd w:val="clear" w:color="auto" w:fill="C6D9F1" w:themeFill="text2" w:themeFillTint="33"/>
            <w:textDirection w:val="btLr"/>
          </w:tcPr>
          <w:p w:rsidR="00CA5AB4" w:rsidRPr="00C72980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  <w:tc>
          <w:tcPr>
            <w:tcW w:w="442" w:type="dxa"/>
            <w:vMerge/>
            <w:shd w:val="clear" w:color="auto" w:fill="C6D9F1" w:themeFill="text2" w:themeFillTint="33"/>
            <w:textDirection w:val="btLr"/>
          </w:tcPr>
          <w:p w:rsidR="00CA5AB4" w:rsidRPr="00C72980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  <w:tc>
          <w:tcPr>
            <w:tcW w:w="442" w:type="dxa"/>
            <w:vMerge/>
            <w:shd w:val="clear" w:color="auto" w:fill="C6D9F1" w:themeFill="text2" w:themeFillTint="33"/>
            <w:textDirection w:val="btLr"/>
          </w:tcPr>
          <w:p w:rsidR="00CA5AB4" w:rsidRPr="00C72980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  <w:tc>
          <w:tcPr>
            <w:tcW w:w="442" w:type="dxa"/>
            <w:vMerge/>
            <w:shd w:val="clear" w:color="auto" w:fill="C6D9F1" w:themeFill="text2" w:themeFillTint="33"/>
            <w:textDirection w:val="btLr"/>
          </w:tcPr>
          <w:p w:rsidR="00CA5AB4" w:rsidRPr="00C72980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  <w:tc>
          <w:tcPr>
            <w:tcW w:w="442" w:type="dxa"/>
            <w:vMerge/>
            <w:shd w:val="clear" w:color="auto" w:fill="C6D9F1" w:themeFill="text2" w:themeFillTint="33"/>
            <w:textDirection w:val="btLr"/>
          </w:tcPr>
          <w:p w:rsidR="00CA5AB4" w:rsidRPr="00C72980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  <w:tc>
          <w:tcPr>
            <w:tcW w:w="442" w:type="dxa"/>
            <w:vMerge/>
            <w:shd w:val="clear" w:color="auto" w:fill="C6D9F1" w:themeFill="text2" w:themeFillTint="33"/>
            <w:textDirection w:val="btLr"/>
          </w:tcPr>
          <w:p w:rsidR="00CA5AB4" w:rsidRPr="00C72980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  <w:tc>
          <w:tcPr>
            <w:tcW w:w="442" w:type="dxa"/>
            <w:vMerge/>
            <w:shd w:val="clear" w:color="auto" w:fill="C6D9F1" w:themeFill="text2" w:themeFillTint="33"/>
            <w:textDirection w:val="btLr"/>
          </w:tcPr>
          <w:p w:rsidR="00CA5AB4" w:rsidRPr="00C72980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  <w:tc>
          <w:tcPr>
            <w:tcW w:w="442" w:type="dxa"/>
            <w:vMerge/>
            <w:shd w:val="clear" w:color="auto" w:fill="C6D9F1" w:themeFill="text2" w:themeFillTint="33"/>
            <w:textDirection w:val="btLr"/>
          </w:tcPr>
          <w:p w:rsidR="00CA5AB4" w:rsidRPr="00C72980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  <w:tc>
          <w:tcPr>
            <w:tcW w:w="442" w:type="dxa"/>
            <w:vMerge/>
            <w:shd w:val="clear" w:color="auto" w:fill="C6D9F1" w:themeFill="text2" w:themeFillTint="33"/>
            <w:textDirection w:val="btLr"/>
          </w:tcPr>
          <w:p w:rsidR="00CA5AB4" w:rsidRPr="00C72980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  <w:tc>
          <w:tcPr>
            <w:tcW w:w="442" w:type="dxa"/>
            <w:vMerge/>
            <w:shd w:val="clear" w:color="auto" w:fill="C6D9F1" w:themeFill="text2" w:themeFillTint="33"/>
            <w:textDirection w:val="btLr"/>
          </w:tcPr>
          <w:p w:rsidR="00CA5AB4" w:rsidRPr="00C72980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  <w:tc>
          <w:tcPr>
            <w:tcW w:w="442" w:type="dxa"/>
            <w:vMerge/>
            <w:shd w:val="clear" w:color="auto" w:fill="C6D9F1" w:themeFill="text2" w:themeFillTint="33"/>
            <w:textDirection w:val="btLr"/>
          </w:tcPr>
          <w:p w:rsidR="00CA5AB4" w:rsidRPr="00C72980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  <w:tc>
          <w:tcPr>
            <w:tcW w:w="442" w:type="dxa"/>
            <w:vMerge/>
            <w:shd w:val="clear" w:color="auto" w:fill="C6D9F1" w:themeFill="text2" w:themeFillTint="33"/>
            <w:textDirection w:val="btLr"/>
          </w:tcPr>
          <w:p w:rsidR="00CA5AB4" w:rsidRPr="00C72980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  <w:tc>
          <w:tcPr>
            <w:tcW w:w="442" w:type="dxa"/>
            <w:vMerge/>
            <w:shd w:val="clear" w:color="auto" w:fill="C6D9F1" w:themeFill="text2" w:themeFillTint="33"/>
            <w:textDirection w:val="btLr"/>
          </w:tcPr>
          <w:p w:rsidR="00CA5AB4" w:rsidRPr="00C72980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  <w:tc>
          <w:tcPr>
            <w:tcW w:w="442" w:type="dxa"/>
            <w:vMerge/>
            <w:shd w:val="clear" w:color="auto" w:fill="C6D9F1" w:themeFill="text2" w:themeFillTint="33"/>
            <w:textDirection w:val="btLr"/>
          </w:tcPr>
          <w:p w:rsidR="00CA5AB4" w:rsidRPr="00C72980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  <w:tc>
          <w:tcPr>
            <w:tcW w:w="442" w:type="dxa"/>
            <w:vMerge/>
            <w:shd w:val="clear" w:color="auto" w:fill="C6D9F1" w:themeFill="text2" w:themeFillTint="33"/>
            <w:textDirection w:val="btLr"/>
          </w:tcPr>
          <w:p w:rsidR="00CA5AB4" w:rsidRPr="00C72980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  <w:tc>
          <w:tcPr>
            <w:tcW w:w="442" w:type="dxa"/>
            <w:vMerge/>
            <w:shd w:val="clear" w:color="auto" w:fill="C6D9F1" w:themeFill="text2" w:themeFillTint="33"/>
            <w:textDirection w:val="btLr"/>
          </w:tcPr>
          <w:p w:rsidR="00CA5AB4" w:rsidRPr="00C72980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  <w:tc>
          <w:tcPr>
            <w:tcW w:w="442" w:type="dxa"/>
            <w:vMerge/>
            <w:shd w:val="clear" w:color="auto" w:fill="C6D9F1" w:themeFill="text2" w:themeFillTint="33"/>
            <w:textDirection w:val="btLr"/>
          </w:tcPr>
          <w:p w:rsidR="00CA5AB4" w:rsidRPr="00C72980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  <w:tc>
          <w:tcPr>
            <w:tcW w:w="551" w:type="dxa"/>
            <w:vMerge/>
            <w:shd w:val="clear" w:color="auto" w:fill="C6D9F1" w:themeFill="text2" w:themeFillTint="33"/>
            <w:textDirection w:val="btLr"/>
          </w:tcPr>
          <w:p w:rsidR="00CA5AB4" w:rsidRPr="00C72980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</w:tcPr>
          <w:p w:rsidR="00CA5AB4" w:rsidRPr="00C72980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</w:tcPr>
          <w:p w:rsidR="00CA5AB4" w:rsidRPr="00C72980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</w:tcPr>
          <w:p w:rsidR="00CA5AB4" w:rsidRPr="00C72980" w:rsidRDefault="00CA5AB4" w:rsidP="00BE76E7">
            <w:pPr>
              <w:ind w:left="113" w:right="113"/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</w:tc>
      </w:tr>
      <w:tr w:rsidR="00CA5AB4" w:rsidRPr="00FA406F" w:rsidTr="00BE76E7">
        <w:tc>
          <w:tcPr>
            <w:tcW w:w="441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85</w:t>
            </w:r>
          </w:p>
        </w:tc>
        <w:tc>
          <w:tcPr>
            <w:tcW w:w="442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78</w:t>
            </w:r>
          </w:p>
        </w:tc>
        <w:tc>
          <w:tcPr>
            <w:tcW w:w="442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62</w:t>
            </w:r>
          </w:p>
        </w:tc>
        <w:tc>
          <w:tcPr>
            <w:tcW w:w="442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62</w:t>
            </w:r>
          </w:p>
        </w:tc>
        <w:tc>
          <w:tcPr>
            <w:tcW w:w="442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63</w:t>
            </w:r>
          </w:p>
        </w:tc>
        <w:tc>
          <w:tcPr>
            <w:tcW w:w="442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78</w:t>
            </w:r>
          </w:p>
        </w:tc>
        <w:tc>
          <w:tcPr>
            <w:tcW w:w="442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80</w:t>
            </w:r>
          </w:p>
        </w:tc>
        <w:tc>
          <w:tcPr>
            <w:tcW w:w="442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75</w:t>
            </w:r>
          </w:p>
        </w:tc>
        <w:tc>
          <w:tcPr>
            <w:tcW w:w="442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65</w:t>
            </w:r>
          </w:p>
        </w:tc>
        <w:tc>
          <w:tcPr>
            <w:tcW w:w="442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80</w:t>
            </w:r>
          </w:p>
        </w:tc>
        <w:tc>
          <w:tcPr>
            <w:tcW w:w="442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90</w:t>
            </w:r>
          </w:p>
        </w:tc>
        <w:tc>
          <w:tcPr>
            <w:tcW w:w="442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80</w:t>
            </w:r>
          </w:p>
        </w:tc>
        <w:tc>
          <w:tcPr>
            <w:tcW w:w="442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70</w:t>
            </w:r>
          </w:p>
        </w:tc>
        <w:tc>
          <w:tcPr>
            <w:tcW w:w="442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90</w:t>
            </w:r>
          </w:p>
        </w:tc>
        <w:tc>
          <w:tcPr>
            <w:tcW w:w="442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90</w:t>
            </w:r>
          </w:p>
        </w:tc>
        <w:tc>
          <w:tcPr>
            <w:tcW w:w="442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90</w:t>
            </w:r>
          </w:p>
        </w:tc>
        <w:tc>
          <w:tcPr>
            <w:tcW w:w="442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90</w:t>
            </w:r>
          </w:p>
        </w:tc>
        <w:tc>
          <w:tcPr>
            <w:tcW w:w="442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98</w:t>
            </w:r>
          </w:p>
        </w:tc>
        <w:tc>
          <w:tcPr>
            <w:tcW w:w="551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100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70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70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</w:p>
          <w:p w:rsidR="00CA5AB4" w:rsidRPr="00C72980" w:rsidRDefault="00CA5AB4" w:rsidP="00BE76E7">
            <w:pPr>
              <w:contextualSpacing/>
              <w:jc w:val="both"/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</w:pPr>
            <w:r w:rsidRPr="00C72980">
              <w:rPr>
                <w:rFonts w:asciiTheme="majorHAnsi" w:eastAsia="Batang" w:hAnsiTheme="majorHAnsi" w:cs="Arial"/>
                <w:sz w:val="20"/>
                <w:szCs w:val="20"/>
                <w:lang w:val="sq-AL"/>
              </w:rPr>
              <w:t>80</w:t>
            </w:r>
          </w:p>
        </w:tc>
      </w:tr>
    </w:tbl>
    <w:p w:rsidR="00CA5AB4" w:rsidRPr="00FA406F" w:rsidRDefault="00CA5AB4" w:rsidP="00CA5AB4">
      <w:pPr>
        <w:spacing w:after="0"/>
        <w:contextualSpacing/>
        <w:jc w:val="both"/>
        <w:rPr>
          <w:rFonts w:asciiTheme="majorHAnsi" w:eastAsia="Batang" w:hAnsiTheme="majorHAnsi" w:cs="Arial"/>
          <w:sz w:val="24"/>
          <w:szCs w:val="24"/>
          <w:lang w:val="sq-AL"/>
        </w:rPr>
      </w:pPr>
    </w:p>
    <w:p w:rsidR="00CA5AB4" w:rsidRPr="00FA406F" w:rsidRDefault="00CA5AB4" w:rsidP="00CA5AB4">
      <w:pPr>
        <w:spacing w:after="0"/>
        <w:contextualSpacing/>
        <w:rPr>
          <w:rFonts w:asciiTheme="majorHAnsi" w:eastAsia="Batang" w:hAnsiTheme="majorHAnsi" w:cs="Arial"/>
          <w:sz w:val="24"/>
          <w:szCs w:val="24"/>
          <w:lang w:val="sq-AL"/>
        </w:rPr>
      </w:pPr>
    </w:p>
    <w:p w:rsidR="00CA5AB4" w:rsidRPr="00FA406F" w:rsidRDefault="00CA5AB4" w:rsidP="00CA5AB4">
      <w:pPr>
        <w:spacing w:after="0"/>
        <w:contextualSpacing/>
        <w:rPr>
          <w:rFonts w:asciiTheme="majorHAnsi" w:eastAsia="Batang" w:hAnsiTheme="majorHAnsi" w:cs="Arial"/>
          <w:b/>
          <w:sz w:val="24"/>
          <w:szCs w:val="24"/>
          <w:lang w:val="sq-AL"/>
        </w:rPr>
      </w:pPr>
    </w:p>
    <w:p w:rsidR="00CA5AB4" w:rsidRPr="00FA406F" w:rsidRDefault="00CA5AB4" w:rsidP="00CA5AB4">
      <w:pPr>
        <w:spacing w:after="0"/>
        <w:contextualSpacing/>
        <w:rPr>
          <w:rFonts w:asciiTheme="majorHAnsi" w:hAnsiTheme="majorHAnsi" w:cs="Arial"/>
          <w:b/>
          <w:sz w:val="24"/>
          <w:szCs w:val="24"/>
          <w:lang w:val="sq-AL"/>
        </w:rPr>
      </w:pPr>
      <w:r w:rsidRPr="00FA406F">
        <w:rPr>
          <w:rFonts w:asciiTheme="majorHAnsi" w:eastAsia="Batang" w:hAnsiTheme="majorHAnsi" w:cs="Arial"/>
          <w:b/>
          <w:sz w:val="24"/>
          <w:szCs w:val="24"/>
          <w:lang w:val="sq-AL"/>
        </w:rPr>
        <w:t xml:space="preserve">Objektivi 2 </w:t>
      </w:r>
      <w:r w:rsidRPr="00FA406F">
        <w:rPr>
          <w:rFonts w:asciiTheme="majorHAnsi" w:hAnsiTheme="majorHAnsi" w:cs="Arial"/>
          <w:b/>
          <w:sz w:val="24"/>
          <w:szCs w:val="24"/>
          <w:lang w:val="sq-AL"/>
        </w:rPr>
        <w:t xml:space="preserve">Trajtimi human i të dënuarve dhe paraburgosurve </w:t>
      </w:r>
    </w:p>
    <w:p w:rsidR="00CA5AB4" w:rsidRPr="00FA406F" w:rsidRDefault="00CA5AB4" w:rsidP="00CA5AB4">
      <w:pPr>
        <w:spacing w:after="0"/>
        <w:contextualSpacing/>
        <w:rPr>
          <w:rFonts w:asciiTheme="majorHAnsi" w:eastAsia="Batang" w:hAnsiTheme="majorHAnsi" w:cs="Arial"/>
          <w:b/>
          <w:sz w:val="24"/>
          <w:szCs w:val="24"/>
          <w:lang w:val="sq-AL"/>
        </w:rPr>
      </w:pPr>
    </w:p>
    <w:p w:rsidR="00CA5AB4" w:rsidRPr="00FA406F" w:rsidRDefault="00CA5AB4" w:rsidP="00CA5AB4">
      <w:pPr>
        <w:spacing w:after="0"/>
        <w:contextualSpacing/>
        <w:jc w:val="both"/>
        <w:rPr>
          <w:rFonts w:asciiTheme="majorHAnsi" w:hAnsiTheme="majorHAnsi" w:cs="Arial"/>
          <w:sz w:val="24"/>
          <w:szCs w:val="24"/>
          <w:lang w:val="sq-AL"/>
        </w:rPr>
      </w:pPr>
      <w:r w:rsidRPr="00FA406F">
        <w:rPr>
          <w:rFonts w:asciiTheme="majorHAnsi" w:eastAsia="Batang" w:hAnsiTheme="majorHAnsi" w:cs="Arial"/>
          <w:b/>
          <w:i/>
          <w:sz w:val="24"/>
          <w:szCs w:val="24"/>
          <w:u w:val="single"/>
          <w:lang w:val="sq-AL"/>
        </w:rPr>
        <w:t xml:space="preserve">Indikatori 1: </w:t>
      </w:r>
      <w:r w:rsidRPr="00FA406F">
        <w:rPr>
          <w:rFonts w:asciiTheme="majorHAnsi" w:hAnsiTheme="majorHAnsi" w:cs="Arial"/>
          <w:b/>
          <w:i/>
          <w:sz w:val="24"/>
          <w:szCs w:val="24"/>
          <w:u w:val="single"/>
          <w:lang w:val="sq-AL"/>
        </w:rPr>
        <w:t>Norma ushqimore e të dënuarve dhe paraburgosurve, e ndarë sipas kategorive të burgosurve:</w:t>
      </w:r>
      <w:r w:rsidRPr="00FA406F">
        <w:rPr>
          <w:rFonts w:asciiTheme="majorHAnsi" w:hAnsiTheme="majorHAnsi" w:cs="Arial"/>
          <w:sz w:val="24"/>
          <w:szCs w:val="24"/>
          <w:lang w:val="sq-AL"/>
        </w:rPr>
        <w:t xml:space="preserve"> Të dënuarve u sigurohet ushqim i shëndetshëm dhe i mjaftueshëm, i përshtatshëm për moshën, gjendjen shëndetësore, punën, klimën dhe stinën nga institucionet e IEVP-ve. Ushqimi sigurohet për tri vaktet. Llojshmëria e ushqimit përcaktohet në tabela të miratuara nga Drejtoria e Përgjithshme e Burgjeve. Norma e ushqimit është në përputhje me urdhrin e përbashkët të Ministrit të Drejtësisë nr. 104/5 datë 19.07.2006 dhe Ministrit të Shëndetësisë</w:t>
      </w:r>
      <w:r w:rsidRPr="00FA406F">
        <w:rPr>
          <w:lang w:val="sq-AL"/>
        </w:rPr>
        <w:t xml:space="preserve"> </w:t>
      </w:r>
      <w:r w:rsidRPr="00FA406F">
        <w:rPr>
          <w:rFonts w:asciiTheme="majorHAnsi" w:hAnsiTheme="majorHAnsi" w:cs="Arial"/>
          <w:sz w:val="24"/>
          <w:szCs w:val="24"/>
          <w:lang w:val="sq-AL"/>
        </w:rPr>
        <w:t xml:space="preserve">dhe Ministrit të Shëndetësisë, nr. 205/3 datë 27.07.2006 sipas  kategorive;  </w:t>
      </w:r>
      <w:r w:rsidRPr="00FA406F">
        <w:rPr>
          <w:rFonts w:asciiTheme="majorHAnsi" w:hAnsiTheme="majorHAnsi" w:cs="Arial"/>
          <w:b/>
          <w:sz w:val="24"/>
          <w:szCs w:val="24"/>
          <w:lang w:val="sq-AL"/>
        </w:rPr>
        <w:t>2.615 k/</w:t>
      </w:r>
      <w:proofErr w:type="spellStart"/>
      <w:r w:rsidRPr="00FA406F">
        <w:rPr>
          <w:rFonts w:asciiTheme="majorHAnsi" w:hAnsiTheme="majorHAnsi" w:cs="Arial"/>
          <w:b/>
          <w:sz w:val="24"/>
          <w:szCs w:val="24"/>
          <w:lang w:val="sq-AL"/>
        </w:rPr>
        <w:t>kal</w:t>
      </w:r>
      <w:proofErr w:type="spellEnd"/>
      <w:r w:rsidRPr="00FA406F">
        <w:rPr>
          <w:rFonts w:asciiTheme="majorHAnsi" w:hAnsiTheme="majorHAnsi" w:cs="Arial"/>
          <w:sz w:val="24"/>
          <w:szCs w:val="24"/>
          <w:lang w:val="sq-AL"/>
        </w:rPr>
        <w:t xml:space="preserve"> për të  dënuar të papunësuar dhe të mitur; </w:t>
      </w:r>
      <w:r w:rsidRPr="00FA406F">
        <w:rPr>
          <w:rFonts w:asciiTheme="majorHAnsi" w:hAnsiTheme="majorHAnsi" w:cs="Arial"/>
          <w:b/>
          <w:sz w:val="24"/>
          <w:szCs w:val="24"/>
          <w:lang w:val="sq-AL"/>
        </w:rPr>
        <w:t>3.033 k/</w:t>
      </w:r>
      <w:proofErr w:type="spellStart"/>
      <w:r w:rsidRPr="00FA406F">
        <w:rPr>
          <w:rFonts w:asciiTheme="majorHAnsi" w:hAnsiTheme="majorHAnsi" w:cs="Arial"/>
          <w:b/>
          <w:sz w:val="24"/>
          <w:szCs w:val="24"/>
          <w:lang w:val="sq-AL"/>
        </w:rPr>
        <w:t>kal</w:t>
      </w:r>
      <w:proofErr w:type="spellEnd"/>
      <w:r w:rsidRPr="00FA406F">
        <w:rPr>
          <w:rFonts w:asciiTheme="majorHAnsi" w:hAnsiTheme="majorHAnsi" w:cs="Arial"/>
          <w:sz w:val="24"/>
          <w:szCs w:val="24"/>
          <w:lang w:val="sq-AL"/>
        </w:rPr>
        <w:t xml:space="preserve"> për të dënuar të punësuar;  </w:t>
      </w:r>
      <w:r w:rsidRPr="00FA406F">
        <w:rPr>
          <w:rFonts w:asciiTheme="majorHAnsi" w:hAnsiTheme="majorHAnsi" w:cs="Arial"/>
          <w:b/>
          <w:sz w:val="24"/>
          <w:szCs w:val="24"/>
          <w:lang w:val="sq-AL"/>
        </w:rPr>
        <w:t>3.345 k/</w:t>
      </w:r>
      <w:proofErr w:type="spellStart"/>
      <w:r w:rsidRPr="00FA406F">
        <w:rPr>
          <w:rFonts w:asciiTheme="majorHAnsi" w:hAnsiTheme="majorHAnsi" w:cs="Arial"/>
          <w:b/>
          <w:sz w:val="24"/>
          <w:szCs w:val="24"/>
          <w:lang w:val="sq-AL"/>
        </w:rPr>
        <w:t>kal</w:t>
      </w:r>
      <w:proofErr w:type="spellEnd"/>
      <w:r w:rsidRPr="00FA406F">
        <w:rPr>
          <w:rFonts w:asciiTheme="majorHAnsi" w:hAnsiTheme="majorHAnsi" w:cs="Arial"/>
          <w:sz w:val="24"/>
          <w:szCs w:val="24"/>
          <w:lang w:val="sq-AL"/>
        </w:rPr>
        <w:t xml:space="preserve">  për të dënuar të sëmurë. Respektimi i tyre verifikohet nga shërbimi shëndetësor i IEVP, Komisioni i Pritjes se Mallit dhe stafi i kuzhinës.    </w:t>
      </w:r>
    </w:p>
    <w:p w:rsidR="00CA5AB4" w:rsidRPr="00FA406F" w:rsidRDefault="00CA5AB4" w:rsidP="00CA5AB4">
      <w:pPr>
        <w:spacing w:after="0"/>
        <w:contextualSpacing/>
        <w:rPr>
          <w:rFonts w:asciiTheme="majorHAnsi" w:hAnsiTheme="majorHAnsi" w:cs="Arial"/>
          <w:b/>
          <w:bCs/>
          <w:iCs/>
          <w:sz w:val="24"/>
          <w:szCs w:val="24"/>
          <w:lang w:val="sq-AL"/>
        </w:rPr>
      </w:pPr>
    </w:p>
    <w:p w:rsidR="00CA5AB4" w:rsidRDefault="00CA5AB4" w:rsidP="00CA5AB4">
      <w:pPr>
        <w:spacing w:after="0"/>
        <w:contextualSpacing/>
        <w:jc w:val="both"/>
        <w:rPr>
          <w:rFonts w:asciiTheme="majorHAnsi" w:hAnsiTheme="majorHAnsi" w:cs="Arial"/>
          <w:bCs/>
          <w:iCs/>
          <w:sz w:val="24"/>
          <w:szCs w:val="24"/>
          <w:lang w:val="sq-AL"/>
        </w:rPr>
      </w:pPr>
      <w:r w:rsidRPr="00FA406F">
        <w:rPr>
          <w:rFonts w:asciiTheme="majorHAnsi" w:hAnsiTheme="majorHAnsi" w:cs="Arial"/>
          <w:b/>
          <w:bCs/>
          <w:i/>
          <w:iCs/>
          <w:sz w:val="24"/>
          <w:szCs w:val="24"/>
          <w:u w:val="single"/>
          <w:lang w:val="sq-AL"/>
        </w:rPr>
        <w:t>Indikatori 2: Numri i të burgosurve të punësuar brenda sistemit të burgjeve: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 Organikat e miratuara, parashikojnë një numër prej 617 personash të punësuar në sistem: të paraburgosur 165 dhe të dënuar 449. Krahasuar me vitin 2011, organika është rritur me 11 vende, për shkak të vënies në funksionim të IEVP Elbasan.  Për vitin 2011, numri real i të burgosurve të punësuar ka qenë 606: të paraburgosur 154, dhe të dënuar 449. Për vitin 2012 numri i të dënuarve/të paraburgosurve të punësuar në sistem janë 554 persona: 460 të dënuar dhe 94 të paraburgosur. </w:t>
      </w:r>
    </w:p>
    <w:p w:rsidR="00CA5AB4" w:rsidRPr="00FA406F" w:rsidRDefault="00CA5AB4" w:rsidP="00CA5AB4">
      <w:pPr>
        <w:spacing w:after="0"/>
        <w:contextualSpacing/>
        <w:jc w:val="both"/>
        <w:rPr>
          <w:rFonts w:asciiTheme="majorHAnsi" w:hAnsiTheme="majorHAnsi" w:cs="Arial"/>
          <w:bCs/>
          <w:iCs/>
          <w:sz w:val="24"/>
          <w:szCs w:val="24"/>
          <w:lang w:val="sq-AL"/>
        </w:rPr>
      </w:pPr>
    </w:p>
    <w:p w:rsidR="00CA5AB4" w:rsidRPr="00FA406F" w:rsidRDefault="00CA5AB4" w:rsidP="00CA5AB4">
      <w:pPr>
        <w:spacing w:after="0"/>
        <w:contextualSpacing/>
        <w:jc w:val="center"/>
        <w:rPr>
          <w:rFonts w:asciiTheme="majorHAnsi" w:eastAsia="Batang" w:hAnsiTheme="majorHAnsi" w:cs="Arial"/>
          <w:b/>
          <w:sz w:val="20"/>
          <w:szCs w:val="20"/>
          <w:lang w:val="sq-AL"/>
        </w:rPr>
      </w:pPr>
      <w:r>
        <w:rPr>
          <w:rFonts w:asciiTheme="majorHAnsi" w:eastAsia="Batang" w:hAnsiTheme="majorHAnsi" w:cs="Arial"/>
          <w:b/>
          <w:sz w:val="20"/>
          <w:szCs w:val="20"/>
          <w:lang w:val="sq-AL"/>
        </w:rPr>
        <w:t xml:space="preserve">Fig. </w:t>
      </w:r>
      <w:r w:rsidRPr="00FA406F">
        <w:rPr>
          <w:rFonts w:asciiTheme="majorHAnsi" w:eastAsia="Batang" w:hAnsiTheme="majorHAnsi" w:cs="Arial"/>
          <w:b/>
          <w:sz w:val="20"/>
          <w:szCs w:val="20"/>
          <w:lang w:val="sq-AL"/>
        </w:rPr>
        <w:t>3 Numri i t</w:t>
      </w:r>
      <w:r>
        <w:rPr>
          <w:rFonts w:asciiTheme="majorHAnsi" w:eastAsia="Batang" w:hAnsiTheme="majorHAnsi" w:cs="Arial"/>
          <w:b/>
          <w:sz w:val="20"/>
          <w:szCs w:val="20"/>
          <w:lang w:val="sq-AL"/>
        </w:rPr>
        <w:t>ë</w:t>
      </w:r>
      <w:r w:rsidRPr="00FA406F">
        <w:rPr>
          <w:rFonts w:asciiTheme="majorHAnsi" w:eastAsia="Batang" w:hAnsiTheme="majorHAnsi" w:cs="Arial"/>
          <w:b/>
          <w:sz w:val="20"/>
          <w:szCs w:val="20"/>
          <w:lang w:val="sq-AL"/>
        </w:rPr>
        <w:t xml:space="preserve"> burgosurve t</w:t>
      </w:r>
      <w:r>
        <w:rPr>
          <w:rFonts w:asciiTheme="majorHAnsi" w:eastAsia="Batang" w:hAnsiTheme="majorHAnsi" w:cs="Arial"/>
          <w:b/>
          <w:sz w:val="20"/>
          <w:szCs w:val="20"/>
          <w:lang w:val="sq-AL"/>
        </w:rPr>
        <w:t>ë</w:t>
      </w:r>
      <w:r w:rsidRPr="00FA406F">
        <w:rPr>
          <w:rFonts w:asciiTheme="majorHAnsi" w:eastAsia="Batang" w:hAnsiTheme="majorHAnsi" w:cs="Arial"/>
          <w:b/>
          <w:sz w:val="20"/>
          <w:szCs w:val="20"/>
          <w:lang w:val="sq-AL"/>
        </w:rPr>
        <w:t xml:space="preserve"> punësuar gjat</w:t>
      </w:r>
      <w:r>
        <w:rPr>
          <w:rFonts w:asciiTheme="majorHAnsi" w:eastAsia="Batang" w:hAnsiTheme="majorHAnsi" w:cs="Arial"/>
          <w:b/>
          <w:sz w:val="20"/>
          <w:szCs w:val="20"/>
          <w:lang w:val="sq-AL"/>
        </w:rPr>
        <w:t>ë</w:t>
      </w:r>
      <w:r w:rsidRPr="00FA406F">
        <w:rPr>
          <w:rFonts w:asciiTheme="majorHAnsi" w:eastAsia="Batang" w:hAnsiTheme="majorHAnsi" w:cs="Arial"/>
          <w:b/>
          <w:sz w:val="20"/>
          <w:szCs w:val="20"/>
          <w:lang w:val="sq-AL"/>
        </w:rPr>
        <w:t xml:space="preserve"> 2012 krahasuar me vitin 2011</w:t>
      </w:r>
    </w:p>
    <w:p w:rsidR="00CA5AB4" w:rsidRPr="00FA406F" w:rsidRDefault="00CA5AB4" w:rsidP="00CA5AB4">
      <w:pPr>
        <w:spacing w:after="0"/>
        <w:contextualSpacing/>
        <w:rPr>
          <w:rFonts w:asciiTheme="majorHAnsi" w:eastAsia="Batang" w:hAnsiTheme="majorHAnsi" w:cs="Arial"/>
          <w:b/>
          <w:sz w:val="20"/>
          <w:szCs w:val="20"/>
          <w:lang w:val="sq-AL"/>
        </w:rPr>
      </w:pPr>
      <w:r w:rsidRPr="00FA406F">
        <w:rPr>
          <w:rFonts w:asciiTheme="majorHAnsi" w:eastAsia="Batang" w:hAnsiTheme="majorHAnsi" w:cs="Arial"/>
          <w:b/>
          <w:noProof/>
          <w:sz w:val="20"/>
          <w:szCs w:val="20"/>
          <w:lang w:val="sq-AL" w:eastAsia="sq-AL"/>
        </w:rPr>
        <w:lastRenderedPageBreak/>
        <w:drawing>
          <wp:inline distT="0" distB="0" distL="0" distR="0">
            <wp:extent cx="2701615" cy="1874343"/>
            <wp:effectExtent l="19050" t="0" r="2253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FA406F">
        <w:rPr>
          <w:rFonts w:asciiTheme="majorHAnsi" w:eastAsia="Batang" w:hAnsiTheme="majorHAnsi" w:cs="Arial"/>
          <w:b/>
          <w:sz w:val="20"/>
          <w:szCs w:val="20"/>
          <w:lang w:val="sq-AL"/>
        </w:rPr>
        <w:t xml:space="preserve">   </w:t>
      </w:r>
      <w:r w:rsidRPr="00FA406F">
        <w:rPr>
          <w:rFonts w:asciiTheme="majorHAnsi" w:eastAsia="Batang" w:hAnsiTheme="majorHAnsi" w:cs="Arial"/>
          <w:b/>
          <w:noProof/>
          <w:sz w:val="20"/>
          <w:szCs w:val="20"/>
          <w:lang w:val="sq-AL" w:eastAsia="sq-AL"/>
        </w:rPr>
        <w:drawing>
          <wp:inline distT="0" distB="0" distL="0" distR="0">
            <wp:extent cx="2701925" cy="1658679"/>
            <wp:effectExtent l="19050" t="0" r="2222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5AB4" w:rsidRPr="00FA406F" w:rsidRDefault="00CA5AB4" w:rsidP="00CA5AB4">
      <w:pPr>
        <w:spacing w:after="0"/>
        <w:contextualSpacing/>
        <w:jc w:val="center"/>
        <w:rPr>
          <w:rFonts w:asciiTheme="majorHAnsi" w:eastAsia="Batang" w:hAnsiTheme="majorHAnsi" w:cs="Arial"/>
          <w:b/>
          <w:sz w:val="20"/>
          <w:szCs w:val="20"/>
          <w:lang w:val="sq-AL"/>
        </w:rPr>
      </w:pPr>
    </w:p>
    <w:p w:rsidR="00CA5AB4" w:rsidRPr="00FA406F" w:rsidRDefault="00CA5AB4" w:rsidP="00CA5AB4">
      <w:pPr>
        <w:spacing w:after="0"/>
        <w:contextualSpacing/>
        <w:jc w:val="center"/>
        <w:rPr>
          <w:rFonts w:asciiTheme="majorHAnsi" w:hAnsiTheme="majorHAnsi" w:cs="Arial"/>
          <w:bCs/>
          <w:iCs/>
          <w:sz w:val="24"/>
          <w:szCs w:val="24"/>
          <w:lang w:val="sq-AL"/>
        </w:rPr>
      </w:pPr>
    </w:p>
    <w:p w:rsidR="00CA5AB4" w:rsidRPr="00FA406F" w:rsidRDefault="00CA5AB4" w:rsidP="00CA5AB4">
      <w:pPr>
        <w:spacing w:after="0"/>
        <w:contextualSpacing/>
        <w:jc w:val="both"/>
        <w:rPr>
          <w:rFonts w:asciiTheme="majorHAnsi" w:hAnsiTheme="majorHAnsi" w:cs="Arial"/>
          <w:bCs/>
          <w:iCs/>
          <w:sz w:val="24"/>
          <w:szCs w:val="24"/>
          <w:lang w:val="sq-AL"/>
        </w:rPr>
      </w:pP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Në zbatim të Memorandumit të Bashkëpunimit midis Ministrisë së Drejtësisë dhe Ministrisë së Punës, Çështjeve Sociale dhe Shanseve të Barabarta, Drejtoria e Përgjithshme e Burgjeve dhe institucionet në varësi kanë bashkëpunuar me Drejtoritë Rajonale të Formimit Profesional Publik për zhvillimin e procesit të formimit profesional në IEVP. Në zbatim të kësaj marrëveshje, procesi i formimit profesional është zhvilluar normalisht mbështetur në kërkesat e të burgosurve, hapësirat e lira fizike dhe bazën materiale që disponojnë disa nga institucionet, si dhe llojet e kurseve profesionale që ofrohen nga drejtoritë rajonale. Ky proces është zhvilluar normalisht në IEVP </w:t>
      </w:r>
      <w:proofErr w:type="spellStart"/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>Ali</w:t>
      </w:r>
      <w:proofErr w:type="spellEnd"/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 Demi, Mine Peza, Vaqarr, Fushë-Krujë, Durrës, Kavajë, Rrogozhinë, Tepelenë, Berat, Vlorë dhe Burrel. Si rezultat, për periudhën janar- dhjetor 2012 kurset profesionale të ofruara janë frekuentuar nga 409 të dënuar.</w:t>
      </w:r>
    </w:p>
    <w:p w:rsidR="00CA5AB4" w:rsidRDefault="00CA5AB4" w:rsidP="00CA5AB4">
      <w:pPr>
        <w:spacing w:after="0"/>
        <w:contextualSpacing/>
        <w:jc w:val="both"/>
        <w:rPr>
          <w:rFonts w:asciiTheme="majorHAnsi" w:hAnsiTheme="majorHAnsi" w:cs="Arial"/>
          <w:b/>
          <w:bCs/>
          <w:i/>
          <w:iCs/>
          <w:sz w:val="24"/>
          <w:szCs w:val="24"/>
          <w:u w:val="single"/>
          <w:lang w:val="sq-AL"/>
        </w:rPr>
      </w:pPr>
    </w:p>
    <w:p w:rsidR="00CA5AB4" w:rsidRPr="00FA406F" w:rsidRDefault="00CA5AB4" w:rsidP="00CA5AB4">
      <w:pPr>
        <w:spacing w:after="0"/>
        <w:contextualSpacing/>
        <w:jc w:val="both"/>
        <w:rPr>
          <w:rFonts w:asciiTheme="majorHAnsi" w:hAnsiTheme="majorHAnsi" w:cs="Arial"/>
          <w:bCs/>
          <w:iCs/>
          <w:sz w:val="24"/>
          <w:szCs w:val="24"/>
          <w:lang w:val="sq-AL"/>
        </w:rPr>
      </w:pPr>
      <w:r w:rsidRPr="00FA406F">
        <w:rPr>
          <w:rFonts w:asciiTheme="majorHAnsi" w:hAnsiTheme="majorHAnsi" w:cs="Arial"/>
          <w:b/>
          <w:bCs/>
          <w:i/>
          <w:iCs/>
          <w:sz w:val="24"/>
          <w:szCs w:val="24"/>
          <w:u w:val="single"/>
          <w:lang w:val="sq-AL"/>
        </w:rPr>
        <w:t>Indikatori 3: Organizimi i aktiviteteve social-edukuese, kulturore-sportive: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 Numri i të burgosurve që kan</w:t>
      </w:r>
      <w:r>
        <w:rPr>
          <w:rFonts w:asciiTheme="majorHAnsi" w:hAnsiTheme="majorHAnsi" w:cs="Arial"/>
          <w:bCs/>
          <w:iCs/>
          <w:sz w:val="24"/>
          <w:szCs w:val="24"/>
          <w:lang w:val="sq-AL"/>
        </w:rPr>
        <w:t>ë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 ndjekur çdo muaj aktivitetet kulturore në institucione ka qen</w:t>
      </w:r>
      <w:r>
        <w:rPr>
          <w:rFonts w:asciiTheme="majorHAnsi" w:hAnsiTheme="majorHAnsi" w:cs="Arial"/>
          <w:bCs/>
          <w:iCs/>
          <w:sz w:val="24"/>
          <w:szCs w:val="24"/>
          <w:lang w:val="sq-AL"/>
        </w:rPr>
        <w:t>ë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 rreth </w:t>
      </w:r>
      <w:r w:rsidRPr="00FA406F">
        <w:rPr>
          <w:rFonts w:asciiTheme="majorHAnsi" w:hAnsiTheme="majorHAnsi" w:cs="Arial"/>
          <w:b/>
          <w:bCs/>
          <w:iCs/>
          <w:sz w:val="24"/>
          <w:szCs w:val="24"/>
          <w:lang w:val="sq-AL"/>
        </w:rPr>
        <w:t xml:space="preserve">2039 </w:t>
      </w:r>
      <w:r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persona. 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Mesatarisht në muaj janë organizuar </w:t>
      </w:r>
      <w:r w:rsidRPr="00FA406F">
        <w:rPr>
          <w:rFonts w:asciiTheme="majorHAnsi" w:hAnsiTheme="majorHAnsi" w:cs="Arial"/>
          <w:b/>
          <w:bCs/>
          <w:iCs/>
          <w:sz w:val="24"/>
          <w:szCs w:val="24"/>
          <w:lang w:val="sq-AL"/>
        </w:rPr>
        <w:t>80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 aktivitete kulturore, kjo duke marrë shkas edhe nga festimet për 100-vjetorin e Pavarësisë. Krahasuar me t</w:t>
      </w:r>
      <w:r>
        <w:rPr>
          <w:rFonts w:asciiTheme="majorHAnsi" w:hAnsiTheme="majorHAnsi" w:cs="Arial"/>
          <w:bCs/>
          <w:iCs/>
          <w:sz w:val="24"/>
          <w:szCs w:val="24"/>
          <w:lang w:val="sq-AL"/>
        </w:rPr>
        <w:t>ë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 njëjtën periudhë janar-dhjetor 2011, numri i aktiviteteve kulturore të zhvilluara ka qenë mesatarisht </w:t>
      </w:r>
      <w:r w:rsidRPr="00FA406F">
        <w:rPr>
          <w:rFonts w:asciiTheme="majorHAnsi" w:hAnsiTheme="majorHAnsi" w:cs="Arial"/>
          <w:b/>
          <w:bCs/>
          <w:iCs/>
          <w:sz w:val="24"/>
          <w:szCs w:val="24"/>
          <w:lang w:val="sq-AL"/>
        </w:rPr>
        <w:t xml:space="preserve">57 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aktivitete. Në të gjitha IEVP janë zhvilluar në bashkëpunim me organizatat jo fitimprurëse </w:t>
      </w:r>
      <w:r w:rsidRPr="00FA406F">
        <w:rPr>
          <w:rFonts w:asciiTheme="majorHAnsi" w:hAnsiTheme="majorHAnsi" w:cs="Arial"/>
          <w:b/>
          <w:bCs/>
          <w:iCs/>
          <w:sz w:val="24"/>
          <w:szCs w:val="24"/>
          <w:lang w:val="sq-AL"/>
        </w:rPr>
        <w:t>147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 aktivitete me  karakter kulturor e fetar. Mesatarisht në muaj janë zhvilluar </w:t>
      </w:r>
      <w:r w:rsidRPr="00FA406F">
        <w:rPr>
          <w:rFonts w:asciiTheme="majorHAnsi" w:hAnsiTheme="majorHAnsi" w:cs="Arial"/>
          <w:b/>
          <w:bCs/>
          <w:iCs/>
          <w:sz w:val="24"/>
          <w:szCs w:val="24"/>
          <w:lang w:val="sq-AL"/>
        </w:rPr>
        <w:t>932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 aktivitete sportive, si: lojëra tavoline, palestër apo lojëra në ambiente t</w:t>
      </w:r>
      <w:r>
        <w:rPr>
          <w:rFonts w:asciiTheme="majorHAnsi" w:hAnsiTheme="majorHAnsi" w:cs="Arial"/>
          <w:bCs/>
          <w:iCs/>
          <w:sz w:val="24"/>
          <w:szCs w:val="24"/>
          <w:lang w:val="sq-AL"/>
        </w:rPr>
        <w:t>ë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 hapura. Numri i pjesëmarrësve në aktivitete sportive në muaj ka qen</w:t>
      </w:r>
      <w:r>
        <w:rPr>
          <w:rFonts w:asciiTheme="majorHAnsi" w:hAnsiTheme="majorHAnsi" w:cs="Arial"/>
          <w:bCs/>
          <w:iCs/>
          <w:sz w:val="24"/>
          <w:szCs w:val="24"/>
          <w:lang w:val="sq-AL"/>
        </w:rPr>
        <w:t>ë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 </w:t>
      </w:r>
      <w:r w:rsidRPr="00FE4942">
        <w:rPr>
          <w:rFonts w:asciiTheme="majorHAnsi" w:hAnsiTheme="majorHAnsi" w:cs="Arial"/>
          <w:b/>
          <w:bCs/>
          <w:iCs/>
          <w:sz w:val="24"/>
          <w:szCs w:val="24"/>
          <w:lang w:val="sq-AL"/>
        </w:rPr>
        <w:t>2.039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 të dënuar/paraburgosur.   </w:t>
      </w:r>
    </w:p>
    <w:p w:rsidR="00CA5AB4" w:rsidRPr="00FA406F" w:rsidRDefault="00CA5AB4" w:rsidP="00CA5AB4">
      <w:pPr>
        <w:spacing w:after="0"/>
        <w:contextualSpacing/>
        <w:jc w:val="both"/>
        <w:rPr>
          <w:rFonts w:asciiTheme="majorHAnsi" w:hAnsiTheme="majorHAnsi" w:cs="Arial"/>
          <w:b/>
          <w:bCs/>
          <w:iCs/>
          <w:sz w:val="24"/>
          <w:szCs w:val="24"/>
          <w:lang w:val="sq-AL"/>
        </w:rPr>
      </w:pPr>
    </w:p>
    <w:p w:rsidR="00CA5AB4" w:rsidRPr="00FA406F" w:rsidRDefault="00CA5AB4" w:rsidP="00CA5AB4">
      <w:pPr>
        <w:spacing w:after="0"/>
        <w:contextualSpacing/>
        <w:jc w:val="both"/>
        <w:rPr>
          <w:rFonts w:asciiTheme="majorHAnsi" w:hAnsiTheme="majorHAnsi" w:cs="Arial"/>
          <w:bCs/>
          <w:iCs/>
          <w:sz w:val="24"/>
          <w:szCs w:val="24"/>
          <w:lang w:val="sq-AL"/>
        </w:rPr>
      </w:pPr>
      <w:r w:rsidRPr="00FA406F">
        <w:rPr>
          <w:rFonts w:asciiTheme="majorHAnsi" w:hAnsiTheme="majorHAnsi" w:cs="Arial"/>
          <w:b/>
          <w:bCs/>
          <w:i/>
          <w:iCs/>
          <w:sz w:val="24"/>
          <w:szCs w:val="24"/>
          <w:u w:val="single"/>
          <w:lang w:val="sq-AL"/>
        </w:rPr>
        <w:t>Indikatori 4: Koha e këshillimit dhe terapi: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 Duke iu referuar të dhënave statistikore të tre viteve të fundit, koha e këshillimit dhe terapisë është rritur nga </w:t>
      </w:r>
      <w:r w:rsidRPr="00FA406F">
        <w:rPr>
          <w:rFonts w:asciiTheme="majorHAnsi" w:hAnsiTheme="majorHAnsi" w:cs="Arial"/>
          <w:b/>
          <w:bCs/>
          <w:iCs/>
          <w:sz w:val="24"/>
          <w:szCs w:val="24"/>
          <w:lang w:val="sq-AL"/>
        </w:rPr>
        <w:t>1.6 orë në muaj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 për çdo të burgosur në 2007, në </w:t>
      </w:r>
      <w:r w:rsidRPr="00FA406F">
        <w:rPr>
          <w:rFonts w:asciiTheme="majorHAnsi" w:hAnsiTheme="majorHAnsi" w:cs="Arial"/>
          <w:b/>
          <w:bCs/>
          <w:iCs/>
          <w:sz w:val="24"/>
          <w:szCs w:val="24"/>
          <w:lang w:val="sq-AL"/>
        </w:rPr>
        <w:t>2 orë në muaj në 2008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 dhe </w:t>
      </w:r>
      <w:r w:rsidRPr="00FA406F">
        <w:rPr>
          <w:rFonts w:asciiTheme="majorHAnsi" w:hAnsiTheme="majorHAnsi" w:cs="Arial"/>
          <w:b/>
          <w:bCs/>
          <w:iCs/>
          <w:sz w:val="24"/>
          <w:szCs w:val="24"/>
          <w:lang w:val="sq-AL"/>
        </w:rPr>
        <w:t>2.5 orë në muaj në 2009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 dhe 2010. Gjatë vitit 2011 koha e këshillimit është rritur </w:t>
      </w:r>
      <w:r w:rsidRPr="00FA406F">
        <w:rPr>
          <w:rFonts w:asciiTheme="majorHAnsi" w:hAnsiTheme="majorHAnsi" w:cs="Arial"/>
          <w:b/>
          <w:bCs/>
          <w:iCs/>
          <w:sz w:val="24"/>
          <w:szCs w:val="24"/>
          <w:lang w:val="sq-AL"/>
        </w:rPr>
        <w:t>në 2.7 orë në muaj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>, e cila është po në të njëjtin nivel gjat</w:t>
      </w:r>
      <w:r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ë 2012. 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Si rezultat, nuk </w:t>
      </w:r>
      <w:r>
        <w:rPr>
          <w:rFonts w:asciiTheme="majorHAnsi" w:hAnsiTheme="majorHAnsi" w:cs="Arial"/>
          <w:bCs/>
          <w:iCs/>
          <w:sz w:val="24"/>
          <w:szCs w:val="24"/>
          <w:lang w:val="sq-AL"/>
        </w:rPr>
        <w:t>ë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>sht</w:t>
      </w:r>
      <w:r>
        <w:rPr>
          <w:rFonts w:asciiTheme="majorHAnsi" w:hAnsiTheme="majorHAnsi" w:cs="Arial"/>
          <w:bCs/>
          <w:iCs/>
          <w:sz w:val="24"/>
          <w:szCs w:val="24"/>
          <w:lang w:val="sq-AL"/>
        </w:rPr>
        <w:t>ë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 kryer asnjë vetëvrasje nga t</w:t>
      </w:r>
      <w:r>
        <w:rPr>
          <w:rFonts w:asciiTheme="majorHAnsi" w:hAnsiTheme="majorHAnsi" w:cs="Arial"/>
          <w:bCs/>
          <w:iCs/>
          <w:sz w:val="24"/>
          <w:szCs w:val="24"/>
          <w:lang w:val="sq-AL"/>
        </w:rPr>
        <w:t>ë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 dënuarit dhe janë minimizuar rastet e tentativave p</w:t>
      </w:r>
      <w:r>
        <w:rPr>
          <w:rFonts w:asciiTheme="majorHAnsi" w:hAnsiTheme="majorHAnsi" w:cs="Arial"/>
          <w:bCs/>
          <w:iCs/>
          <w:sz w:val="24"/>
          <w:szCs w:val="24"/>
          <w:lang w:val="sq-AL"/>
        </w:rPr>
        <w:t>ë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>r vetëvrasje, ku n</w:t>
      </w:r>
      <w:r>
        <w:rPr>
          <w:rFonts w:asciiTheme="majorHAnsi" w:hAnsiTheme="majorHAnsi" w:cs="Arial"/>
          <w:bCs/>
          <w:iCs/>
          <w:sz w:val="24"/>
          <w:szCs w:val="24"/>
          <w:lang w:val="sq-AL"/>
        </w:rPr>
        <w:t>ë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 total p</w:t>
      </w:r>
      <w:r>
        <w:rPr>
          <w:rFonts w:asciiTheme="majorHAnsi" w:hAnsiTheme="majorHAnsi" w:cs="Arial"/>
          <w:bCs/>
          <w:iCs/>
          <w:sz w:val="24"/>
          <w:szCs w:val="24"/>
          <w:lang w:val="sq-AL"/>
        </w:rPr>
        <w:t>ë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>r 2012 jan</w:t>
      </w:r>
      <w:r>
        <w:rPr>
          <w:rFonts w:asciiTheme="majorHAnsi" w:hAnsiTheme="majorHAnsi" w:cs="Arial"/>
          <w:bCs/>
          <w:iCs/>
          <w:sz w:val="24"/>
          <w:szCs w:val="24"/>
          <w:lang w:val="sq-AL"/>
        </w:rPr>
        <w:t>ë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 regjistruar 8 t</w:t>
      </w:r>
      <w:r>
        <w:rPr>
          <w:rFonts w:asciiTheme="majorHAnsi" w:hAnsiTheme="majorHAnsi" w:cs="Arial"/>
          <w:bCs/>
          <w:iCs/>
          <w:sz w:val="24"/>
          <w:szCs w:val="24"/>
          <w:lang w:val="sq-AL"/>
        </w:rPr>
        <w:t>ë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 tilla. </w:t>
      </w:r>
      <w:r>
        <w:rPr>
          <w:rFonts w:asciiTheme="majorHAnsi" w:hAnsiTheme="majorHAnsi" w:cs="Arial"/>
          <w:bCs/>
          <w:iCs/>
          <w:sz w:val="24"/>
          <w:szCs w:val="24"/>
          <w:lang w:val="sq-AL"/>
        </w:rPr>
        <w:t>Ë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shtë ndjekur dhe monitoruar implementimi  i  Planit të Vuajtjes së Dënimit dhe është trajnuar stafi i ri social në burgje për zbatimin e këtij formati, i cili shërben si orientim i të gjithë punës rehabilituese, që do të kryhet me të </w:t>
      </w: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lastRenderedPageBreak/>
        <w:t>burgosurin gjatë periudhës së vuajtjes së dënimit. Zbatohen Planet e Dënimit për të burgosurit dhe Programet e Individualizuara për këto kategori:</w:t>
      </w:r>
    </w:p>
    <w:p w:rsidR="00CA5AB4" w:rsidRPr="00FA406F" w:rsidRDefault="00CA5AB4" w:rsidP="00CA5AB4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Cs/>
          <w:iCs/>
          <w:sz w:val="24"/>
          <w:szCs w:val="24"/>
          <w:lang w:val="sq-AL"/>
        </w:rPr>
      </w:pP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>Të burgosur me probleme të shëndetit mendor ku janë trajtuar mesatarisht 240 persona në muaj.</w:t>
      </w:r>
    </w:p>
    <w:p w:rsidR="00CA5AB4" w:rsidRPr="00FA406F" w:rsidRDefault="00CA5AB4" w:rsidP="00CA5AB4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Cs/>
          <w:iCs/>
          <w:sz w:val="24"/>
          <w:szCs w:val="24"/>
          <w:lang w:val="sq-AL"/>
        </w:rPr>
      </w:pP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>Të burgosur me varësi (fizike dhe psikologjike) nga substancat narkotike ku janë trajtuar mesatarisht 141 persona në muaj.</w:t>
      </w:r>
    </w:p>
    <w:p w:rsidR="00CA5AB4" w:rsidRPr="00FA406F" w:rsidRDefault="00CA5AB4" w:rsidP="00CA5AB4">
      <w:pPr>
        <w:spacing w:after="0"/>
        <w:contextualSpacing/>
        <w:jc w:val="both"/>
        <w:rPr>
          <w:rFonts w:asciiTheme="majorHAnsi" w:hAnsiTheme="majorHAnsi" w:cs="Arial"/>
          <w:bCs/>
          <w:iCs/>
          <w:sz w:val="24"/>
          <w:szCs w:val="24"/>
          <w:lang w:val="sq-AL"/>
        </w:rPr>
      </w:pPr>
    </w:p>
    <w:p w:rsidR="00CA5AB4" w:rsidRPr="00FA406F" w:rsidRDefault="00CA5AB4" w:rsidP="00CA5AB4">
      <w:pPr>
        <w:spacing w:after="0"/>
        <w:contextualSpacing/>
        <w:jc w:val="both"/>
        <w:rPr>
          <w:rFonts w:asciiTheme="majorHAnsi" w:hAnsiTheme="majorHAnsi" w:cs="Arial"/>
          <w:bCs/>
          <w:iCs/>
          <w:sz w:val="24"/>
          <w:szCs w:val="24"/>
          <w:lang w:val="sq-AL"/>
        </w:rPr>
      </w:pPr>
      <w:r w:rsidRPr="00FA406F">
        <w:rPr>
          <w:rFonts w:asciiTheme="majorHAnsi" w:hAnsiTheme="majorHAnsi" w:cs="Arial"/>
          <w:bCs/>
          <w:iCs/>
          <w:sz w:val="24"/>
          <w:szCs w:val="24"/>
          <w:lang w:val="sq-AL"/>
        </w:rPr>
        <w:t xml:space="preserve">Gjatë vitit 2012, janë zbatuar modulet e programeve të trajtimit individual, për kategori të ndryshme personash me liri të kufizuar. Temat kryesore të programit përfshinin: a) mendimi pro social (të rinjtë); b) dhuna gjinore; c) heroina, kokaina dhe drogat sintetike; d) parandalimi i vetëvrasjeve; e) personat me aftësi të kufizuar; f) të rinjtë 18-21 vjeçar (Modul respekti); g) trajnim për reduktimin e agresivitetit (ART), menaxhimi i zemërimit, abuzimi me alkoolin; h) disa programe para lirimit, etj. Qëllimi kryesor i zbatimit të këtyre programeve individuale është këshillimi dhe ofrimi i terapisë nga ana e specialistëve të kujdesit social në lehtësimin e gjendjes psikologjike dhe emocional të dënuarve. Janë trajtuar çdo muaj me programin ART dhe Menaxhimi i zemërimit  të mitur, ku janë trajtuar mesatarisht 135 persona në muaj; 18-21 vjeç, ku janë trajtuar mesatarisht 296 persona në muaj. Janë trajtuar me programe rehabilituese mesatarisht 90 të dënuara dhe të paraburgosura në muaj për kategorinë gra. Janë trajtuar me programin për parandalimin e vetëvrasjes në total 49 të burgosur gjatë periudhës janar-dhjetor 2012. </w:t>
      </w:r>
    </w:p>
    <w:p w:rsidR="00CA5AB4" w:rsidRDefault="00CA5AB4" w:rsidP="00CA5AB4">
      <w:pPr>
        <w:spacing w:after="0"/>
        <w:contextualSpacing/>
        <w:jc w:val="both"/>
        <w:rPr>
          <w:rFonts w:asciiTheme="majorHAnsi" w:hAnsiTheme="majorHAnsi" w:cs="Arial"/>
          <w:b/>
          <w:bCs/>
          <w:i/>
          <w:iCs/>
          <w:sz w:val="24"/>
          <w:szCs w:val="24"/>
          <w:u w:val="single"/>
          <w:lang w:val="sq-AL"/>
        </w:rPr>
      </w:pPr>
    </w:p>
    <w:p w:rsidR="00CA5AB4" w:rsidRPr="00CA5AB4" w:rsidRDefault="00CA5AB4" w:rsidP="00CA5AB4">
      <w:pPr>
        <w:spacing w:after="0"/>
        <w:contextualSpacing/>
        <w:jc w:val="both"/>
        <w:rPr>
          <w:rFonts w:asciiTheme="majorHAnsi" w:hAnsiTheme="majorHAnsi" w:cs="Arial"/>
          <w:sz w:val="24"/>
          <w:szCs w:val="24"/>
          <w:lang w:val="sq-AL"/>
        </w:rPr>
      </w:pPr>
      <w:r w:rsidRPr="00FA406F">
        <w:rPr>
          <w:rFonts w:asciiTheme="majorHAnsi" w:hAnsiTheme="majorHAnsi" w:cs="Arial"/>
          <w:b/>
          <w:bCs/>
          <w:i/>
          <w:iCs/>
          <w:sz w:val="24"/>
          <w:szCs w:val="24"/>
          <w:u w:val="single"/>
          <w:lang w:val="sq-AL"/>
        </w:rPr>
        <w:t xml:space="preserve">Indikatori 5: </w:t>
      </w:r>
      <w:r w:rsidRPr="00FA406F">
        <w:rPr>
          <w:rFonts w:asciiTheme="majorHAnsi" w:hAnsiTheme="majorHAnsi" w:cs="Arial"/>
          <w:b/>
          <w:i/>
          <w:sz w:val="24"/>
          <w:szCs w:val="24"/>
          <w:u w:val="single"/>
          <w:lang w:val="sq-AL"/>
        </w:rPr>
        <w:t>Raste të konstatuara të ushtrimit të dhunës nga stafi te të dënuarit:</w:t>
      </w:r>
      <w:r w:rsidRPr="00FA406F">
        <w:rPr>
          <w:rFonts w:asciiTheme="majorHAnsi" w:hAnsiTheme="majorHAnsi" w:cs="Arial"/>
          <w:sz w:val="24"/>
          <w:szCs w:val="24"/>
          <w:lang w:val="sq-AL"/>
        </w:rPr>
        <w:t xml:space="preserve"> Gjatë 2012, nuk janë regjistruar raste të ushtrimit të dhunës në IEVP. Avokati i Popullit ka denoncuar në datën 26 prill 2012, nëpërmjet </w:t>
      </w:r>
      <w:proofErr w:type="spellStart"/>
      <w:r w:rsidRPr="00FA406F">
        <w:rPr>
          <w:rFonts w:asciiTheme="majorHAnsi" w:hAnsiTheme="majorHAnsi" w:cs="Arial"/>
          <w:sz w:val="24"/>
          <w:szCs w:val="24"/>
          <w:lang w:val="sq-AL"/>
        </w:rPr>
        <w:t>medias</w:t>
      </w:r>
      <w:proofErr w:type="spellEnd"/>
      <w:r w:rsidRPr="00FA406F">
        <w:rPr>
          <w:rFonts w:asciiTheme="majorHAnsi" w:hAnsiTheme="majorHAnsi" w:cs="Arial"/>
          <w:sz w:val="24"/>
          <w:szCs w:val="24"/>
          <w:lang w:val="sq-AL"/>
        </w:rPr>
        <w:t xml:space="preserve">, rastin e dy të paraburgosurve që pretendojnë për ushtrim dhune nga ana e punonjësve të policisë së IEVP </w:t>
      </w:r>
      <w:proofErr w:type="spellStart"/>
      <w:r w:rsidRPr="00FA406F">
        <w:rPr>
          <w:rFonts w:asciiTheme="majorHAnsi" w:hAnsiTheme="majorHAnsi" w:cs="Arial"/>
          <w:sz w:val="24"/>
          <w:szCs w:val="24"/>
          <w:lang w:val="sq-AL"/>
        </w:rPr>
        <w:t>Jordan</w:t>
      </w:r>
      <w:proofErr w:type="spellEnd"/>
      <w:r w:rsidRPr="00FA406F">
        <w:rPr>
          <w:rFonts w:asciiTheme="majorHAnsi" w:hAnsiTheme="majorHAnsi" w:cs="Arial"/>
          <w:sz w:val="24"/>
          <w:szCs w:val="24"/>
          <w:lang w:val="sq-AL"/>
        </w:rPr>
        <w:t xml:space="preserve"> </w:t>
      </w:r>
      <w:proofErr w:type="spellStart"/>
      <w:r w:rsidRPr="00FA406F">
        <w:rPr>
          <w:rFonts w:asciiTheme="majorHAnsi" w:hAnsiTheme="majorHAnsi" w:cs="Arial"/>
          <w:sz w:val="24"/>
          <w:szCs w:val="24"/>
          <w:lang w:val="sq-AL"/>
        </w:rPr>
        <w:t>Misja</w:t>
      </w:r>
      <w:proofErr w:type="spellEnd"/>
      <w:r w:rsidRPr="00FA406F">
        <w:rPr>
          <w:rFonts w:asciiTheme="majorHAnsi" w:hAnsiTheme="majorHAnsi" w:cs="Arial"/>
          <w:sz w:val="24"/>
          <w:szCs w:val="24"/>
          <w:lang w:val="sq-AL"/>
        </w:rPr>
        <w:t xml:space="preserve">. Rasti i pretenduar është dërguar për kallëzim penal nga Institucioni i Avokatit të Popullit në Prokurorinë e Tiranës. Ndërkohë, Drejtoria e Përgjithshme mori masa të menjëhershme për pezullimin nga detyra të 5 punonjësve të policisë së burgjeve të IEVP </w:t>
      </w:r>
      <w:proofErr w:type="spellStart"/>
      <w:r w:rsidRPr="00FA406F">
        <w:rPr>
          <w:rFonts w:asciiTheme="majorHAnsi" w:hAnsiTheme="majorHAnsi" w:cs="Arial"/>
          <w:sz w:val="24"/>
          <w:szCs w:val="24"/>
          <w:lang w:val="sq-AL"/>
        </w:rPr>
        <w:t>Jordan</w:t>
      </w:r>
      <w:proofErr w:type="spellEnd"/>
      <w:r w:rsidRPr="00FA406F">
        <w:rPr>
          <w:rFonts w:asciiTheme="majorHAnsi" w:hAnsiTheme="majorHAnsi" w:cs="Arial"/>
          <w:sz w:val="24"/>
          <w:szCs w:val="24"/>
          <w:lang w:val="sq-AL"/>
        </w:rPr>
        <w:t xml:space="preserve"> </w:t>
      </w:r>
      <w:proofErr w:type="spellStart"/>
      <w:r w:rsidRPr="00FA406F">
        <w:rPr>
          <w:rFonts w:asciiTheme="majorHAnsi" w:hAnsiTheme="majorHAnsi" w:cs="Arial"/>
          <w:sz w:val="24"/>
          <w:szCs w:val="24"/>
          <w:lang w:val="sq-AL"/>
        </w:rPr>
        <w:t>Misja</w:t>
      </w:r>
      <w:proofErr w:type="spellEnd"/>
      <w:r w:rsidRPr="00FA406F">
        <w:rPr>
          <w:rFonts w:asciiTheme="majorHAnsi" w:hAnsiTheme="majorHAnsi" w:cs="Arial"/>
          <w:sz w:val="24"/>
          <w:szCs w:val="24"/>
          <w:lang w:val="sq-AL"/>
        </w:rPr>
        <w:t xml:space="preserve">, deri në përfundimin e hetimeve. Me shkresën nr. 2767 datë 04.07.2012 të Prokurorisë së Rrethit Tiranë, është bërë njoftimi për pushimin e çështjes për mungesë provash, duke hedhur poshtë akuzat për veprën penale të torturës ndaj të paraburgosurve në IEVP </w:t>
      </w:r>
      <w:proofErr w:type="spellStart"/>
      <w:r w:rsidRPr="00FA406F">
        <w:rPr>
          <w:rFonts w:asciiTheme="majorHAnsi" w:hAnsiTheme="majorHAnsi" w:cs="Arial"/>
          <w:sz w:val="24"/>
          <w:szCs w:val="24"/>
          <w:lang w:val="sq-AL"/>
        </w:rPr>
        <w:t>Jordan</w:t>
      </w:r>
      <w:proofErr w:type="spellEnd"/>
      <w:r w:rsidRPr="00FA406F">
        <w:rPr>
          <w:rFonts w:asciiTheme="majorHAnsi" w:hAnsiTheme="majorHAnsi" w:cs="Arial"/>
          <w:sz w:val="24"/>
          <w:szCs w:val="24"/>
          <w:lang w:val="sq-AL"/>
        </w:rPr>
        <w:t xml:space="preserve"> </w:t>
      </w:r>
      <w:proofErr w:type="spellStart"/>
      <w:r w:rsidRPr="00FA406F">
        <w:rPr>
          <w:rFonts w:asciiTheme="majorHAnsi" w:hAnsiTheme="majorHAnsi" w:cs="Arial"/>
          <w:sz w:val="24"/>
          <w:szCs w:val="24"/>
          <w:lang w:val="sq-AL"/>
        </w:rPr>
        <w:t>Misja</w:t>
      </w:r>
      <w:proofErr w:type="spellEnd"/>
      <w:r w:rsidRPr="00FA406F">
        <w:rPr>
          <w:rFonts w:asciiTheme="majorHAnsi" w:hAnsiTheme="majorHAnsi" w:cs="Arial"/>
          <w:sz w:val="24"/>
          <w:szCs w:val="24"/>
          <w:lang w:val="sq-AL"/>
        </w:rPr>
        <w:t xml:space="preserve"> dhe pretendimet e ngritura nga Avokat</w:t>
      </w:r>
      <w:r>
        <w:rPr>
          <w:rFonts w:asciiTheme="majorHAnsi" w:hAnsiTheme="majorHAnsi" w:cs="Arial"/>
          <w:sz w:val="24"/>
          <w:szCs w:val="24"/>
          <w:lang w:val="sq-AL"/>
        </w:rPr>
        <w:t>i i Popullit</w:t>
      </w:r>
    </w:p>
    <w:p w:rsidR="00CA5AB4" w:rsidRDefault="00CA5AB4" w:rsidP="00CA5AB4">
      <w:pPr>
        <w:spacing w:after="0"/>
        <w:contextualSpacing/>
        <w:rPr>
          <w:rFonts w:asciiTheme="majorHAnsi" w:eastAsia="Batang" w:hAnsiTheme="majorHAnsi" w:cs="Arial"/>
          <w:b/>
          <w:sz w:val="24"/>
          <w:szCs w:val="24"/>
          <w:lang w:val="sq-AL"/>
        </w:rPr>
      </w:pPr>
    </w:p>
    <w:p w:rsidR="00CA5AB4" w:rsidRPr="00FA406F" w:rsidRDefault="00CA5AB4" w:rsidP="00CA5AB4">
      <w:pPr>
        <w:spacing w:after="0"/>
        <w:contextualSpacing/>
        <w:rPr>
          <w:rFonts w:asciiTheme="majorHAnsi" w:eastAsia="Batang" w:hAnsiTheme="majorHAnsi" w:cs="Arial"/>
          <w:b/>
          <w:sz w:val="24"/>
          <w:szCs w:val="24"/>
          <w:lang w:val="sq-AL"/>
        </w:rPr>
      </w:pPr>
      <w:r w:rsidRPr="00FA406F">
        <w:rPr>
          <w:rFonts w:asciiTheme="majorHAnsi" w:eastAsia="Batang" w:hAnsiTheme="majorHAnsi" w:cs="Arial"/>
          <w:b/>
          <w:sz w:val="24"/>
          <w:szCs w:val="24"/>
          <w:lang w:val="sq-AL"/>
        </w:rPr>
        <w:t xml:space="preserve">Objektivi 3 </w:t>
      </w:r>
      <w:r w:rsidRPr="00FA406F">
        <w:rPr>
          <w:rFonts w:asciiTheme="majorHAnsi" w:hAnsiTheme="majorHAnsi" w:cs="Arial"/>
          <w:b/>
          <w:sz w:val="24"/>
          <w:szCs w:val="24"/>
          <w:lang w:val="sq-AL"/>
        </w:rPr>
        <w:t>Drejtimi në efiçensë dhe efektivitet i aktivitetit të përgjithshëm në burgje dhe paraburgime</w:t>
      </w:r>
    </w:p>
    <w:p w:rsidR="00CA5AB4" w:rsidRPr="00FA406F" w:rsidRDefault="00CA5AB4" w:rsidP="00CA5AB4">
      <w:pPr>
        <w:spacing w:after="0"/>
        <w:contextualSpacing/>
        <w:rPr>
          <w:rFonts w:asciiTheme="majorHAnsi" w:eastAsia="Batang" w:hAnsiTheme="majorHAnsi" w:cs="Arial"/>
          <w:b/>
          <w:sz w:val="24"/>
          <w:szCs w:val="24"/>
          <w:lang w:val="sq-AL"/>
        </w:rPr>
      </w:pPr>
    </w:p>
    <w:p w:rsidR="00CA5AB4" w:rsidRDefault="00CA5AB4" w:rsidP="00CA5AB4">
      <w:pPr>
        <w:spacing w:after="0"/>
        <w:contextualSpacing/>
        <w:jc w:val="both"/>
        <w:rPr>
          <w:rFonts w:asciiTheme="majorHAnsi" w:eastAsia="Batang" w:hAnsiTheme="majorHAnsi" w:cs="Arial"/>
          <w:sz w:val="24"/>
          <w:szCs w:val="24"/>
          <w:lang w:val="sq-AL"/>
        </w:rPr>
      </w:pPr>
      <w:r w:rsidRPr="00FA406F">
        <w:rPr>
          <w:rFonts w:asciiTheme="majorHAnsi" w:eastAsia="Batang" w:hAnsiTheme="majorHAnsi" w:cs="Arial"/>
          <w:b/>
          <w:i/>
          <w:sz w:val="24"/>
          <w:szCs w:val="24"/>
          <w:u w:val="single"/>
          <w:lang w:val="sq-AL"/>
        </w:rPr>
        <w:t xml:space="preserve">Indikatori 1: </w:t>
      </w:r>
      <w:r w:rsidRPr="00FA406F">
        <w:rPr>
          <w:rFonts w:asciiTheme="majorHAnsi" w:eastAsia="Batang" w:hAnsiTheme="majorHAnsi" w:cs="Arial"/>
          <w:b/>
          <w:sz w:val="24"/>
          <w:szCs w:val="24"/>
          <w:u w:val="single"/>
          <w:lang w:val="sq-AL"/>
        </w:rPr>
        <w:t>Trajnimi i gjithanshëm të gjithë stafit civil dhe policor të burgjeve në çështjet e të drejtave të njeriut dhe nxitja dhe respektimi i të drejtave për sa i përket trajtimit të paraburgosurve dhe dënuarve: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Gjatë vitit 2012 janë trajnuar </w:t>
      </w:r>
      <w:r w:rsidRPr="00FA406F">
        <w:rPr>
          <w:rFonts w:asciiTheme="majorHAnsi" w:eastAsia="Batang" w:hAnsiTheme="majorHAnsi" w:cs="Arial"/>
          <w:b/>
          <w:sz w:val="24"/>
          <w:szCs w:val="24"/>
          <w:lang w:val="sq-AL"/>
        </w:rPr>
        <w:t>1436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punonjës të gjitha shërbimeve dhe janë kryer </w:t>
      </w:r>
      <w:r w:rsidRPr="00FA406F">
        <w:rPr>
          <w:rFonts w:asciiTheme="majorHAnsi" w:eastAsia="Batang" w:hAnsiTheme="majorHAnsi" w:cs="Arial"/>
          <w:b/>
          <w:sz w:val="24"/>
          <w:szCs w:val="24"/>
          <w:lang w:val="sq-AL"/>
        </w:rPr>
        <w:t>296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ditë trajnim. Në krahasim me vitin 2011, ka një rritje 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numrit t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trajnuarve prej </w:t>
      </w:r>
      <w:r w:rsidRPr="00FA406F">
        <w:rPr>
          <w:rFonts w:asciiTheme="majorHAnsi" w:eastAsia="Batang" w:hAnsiTheme="majorHAnsi" w:cs="Arial"/>
          <w:b/>
          <w:sz w:val="24"/>
          <w:szCs w:val="24"/>
          <w:lang w:val="sq-AL"/>
        </w:rPr>
        <w:t>412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persona, ose </w:t>
      </w:r>
      <w:r w:rsidRPr="00FA406F">
        <w:rPr>
          <w:rFonts w:asciiTheme="majorHAnsi" w:eastAsia="Batang" w:hAnsiTheme="majorHAnsi" w:cs="Arial"/>
          <w:b/>
          <w:sz w:val="24"/>
          <w:szCs w:val="24"/>
          <w:lang w:val="sq-AL"/>
        </w:rPr>
        <w:t xml:space="preserve">40% 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m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shum</w:t>
      </w:r>
      <w:r>
        <w:rPr>
          <w:rFonts w:asciiTheme="majorHAnsi" w:eastAsia="Batang" w:hAnsiTheme="majorHAnsi" w:cs="Arial"/>
          <w:sz w:val="24"/>
          <w:szCs w:val="24"/>
          <w:lang w:val="sq-AL"/>
        </w:rPr>
        <w:t>ë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.</w:t>
      </w:r>
      <w:r w:rsidR="00EC353B">
        <w:rPr>
          <w:rFonts w:asciiTheme="majorHAnsi" w:eastAsia="Batang" w:hAnsiTheme="majorHAnsi" w:cs="Arial"/>
          <w:sz w:val="24"/>
          <w:szCs w:val="24"/>
          <w:lang w:val="sq-AL"/>
        </w:rPr>
        <w:t xml:space="preserve"> 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Trajnimet janë kryer në bashkëpunim me Komitetin Shqiptar të Helsinkit dhe ekspertë 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lastRenderedPageBreak/>
        <w:t>holandez. Në bashkëpunim me Universitetin e Tiranës, Fakultetin e Shkencave Sociale, janë kryer trajnime për parandalimin e diskriminimit në trajtimin e të burgosurve, si dhe tema të tjera për aftësitë komunikuese, menaxhimin e konflikteve, konsumimin profesional etj. Qendra Shqiptare e Parandalimit të Traumës dhe Torturës ka zhvilluar dy sesione trajnimi të stafit policor mbi Kodin e Etikës së Komunikimit, dokumentimin e rasteve të ushtrimit të dhunës dhe njohje me rregullat e përcaktuara në Protokollin e Stambollit</w:t>
      </w:r>
    </w:p>
    <w:p w:rsidR="00CA5AB4" w:rsidRPr="00FA406F" w:rsidRDefault="00CA5AB4" w:rsidP="00CA5AB4">
      <w:pPr>
        <w:spacing w:after="0"/>
        <w:contextualSpacing/>
        <w:jc w:val="both"/>
        <w:rPr>
          <w:rFonts w:asciiTheme="majorHAnsi" w:eastAsia="Batang" w:hAnsiTheme="majorHAnsi" w:cs="Arial"/>
          <w:sz w:val="24"/>
          <w:szCs w:val="24"/>
          <w:lang w:val="sq-AL"/>
        </w:rPr>
      </w:pPr>
      <w:r>
        <w:rPr>
          <w:rFonts w:asciiTheme="majorHAnsi" w:eastAsia="Batang" w:hAnsiTheme="majorHAnsi" w:cs="Arial"/>
          <w:sz w:val="24"/>
          <w:szCs w:val="24"/>
          <w:lang w:val="sq-AL"/>
        </w:rPr>
        <w:t>M</w:t>
      </w:r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bështetur nga organizata Save the </w:t>
      </w:r>
      <w:proofErr w:type="spellStart"/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Children</w:t>
      </w:r>
      <w:proofErr w:type="spellEnd"/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, ka realizuar trajnimin e të gjithë stafit që punon me të mitur, në një trajnim 6 ditor, ku kanë marrë pjesë 36 punonjës të gjitha shërbimeve që punojnë me të mitur nga 5 Institucione, Kavajë, </w:t>
      </w:r>
      <w:proofErr w:type="spellStart"/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Jordan</w:t>
      </w:r>
      <w:proofErr w:type="spellEnd"/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</w:t>
      </w:r>
      <w:proofErr w:type="spellStart"/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Misja</w:t>
      </w:r>
      <w:proofErr w:type="spellEnd"/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, Vlorë, Lezhë, Korçë. Në bashkëpunim me organizatën partnere Save the </w:t>
      </w:r>
      <w:proofErr w:type="spellStart"/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>Children</w:t>
      </w:r>
      <w:proofErr w:type="spellEnd"/>
      <w:r w:rsidRPr="00FA406F">
        <w:rPr>
          <w:rFonts w:asciiTheme="majorHAnsi" w:eastAsia="Batang" w:hAnsiTheme="majorHAnsi" w:cs="Arial"/>
          <w:sz w:val="24"/>
          <w:szCs w:val="24"/>
          <w:lang w:val="sq-AL"/>
        </w:rPr>
        <w:t xml:space="preserve"> është hartuar Manuali i Trajnimit për profesionistët që punojnë me fëmijët në sistemin penitenciar. Një vëmendje e  veçantë në këtë manual trajnimi i është kushtuar dhe Instrumenteve Ndërkombëtare të lidhura me Administrimin e Drejtësisë për të Mitur dhe më konkretisht njohje e stafeve mbi trajtimin e të miturve bazuar në “Rregullat Evropiane për trajtimin e të miturve”.  </w:t>
      </w:r>
    </w:p>
    <w:p w:rsidR="00CA5AB4" w:rsidRPr="00FA406F" w:rsidRDefault="00CA5AB4" w:rsidP="00CA5AB4">
      <w:pPr>
        <w:spacing w:after="0"/>
        <w:contextualSpacing/>
        <w:jc w:val="both"/>
        <w:rPr>
          <w:rFonts w:asciiTheme="majorHAnsi" w:eastAsia="Batang" w:hAnsiTheme="majorHAnsi" w:cs="Arial"/>
          <w:b/>
          <w:sz w:val="20"/>
          <w:szCs w:val="20"/>
          <w:lang w:val="sq-AL"/>
        </w:rPr>
      </w:pPr>
    </w:p>
    <w:p w:rsidR="00CA5AB4" w:rsidRPr="00FA406F" w:rsidRDefault="00CA5AB4" w:rsidP="00CA5AB4">
      <w:pPr>
        <w:spacing w:after="0"/>
        <w:contextualSpacing/>
        <w:jc w:val="center"/>
        <w:rPr>
          <w:rFonts w:asciiTheme="majorHAnsi" w:eastAsia="Batang" w:hAnsiTheme="majorHAnsi" w:cs="Arial"/>
          <w:sz w:val="24"/>
          <w:szCs w:val="24"/>
          <w:lang w:val="sq-AL"/>
        </w:rPr>
      </w:pPr>
      <w:r w:rsidRPr="00FA406F">
        <w:rPr>
          <w:rFonts w:asciiTheme="majorHAnsi" w:eastAsia="Batang" w:hAnsiTheme="majorHAnsi" w:cs="Arial"/>
          <w:b/>
          <w:sz w:val="20"/>
          <w:szCs w:val="20"/>
          <w:lang w:val="sq-AL"/>
        </w:rPr>
        <w:t xml:space="preserve">Fig. </w:t>
      </w:r>
      <w:r>
        <w:rPr>
          <w:rFonts w:asciiTheme="majorHAnsi" w:eastAsia="Batang" w:hAnsiTheme="majorHAnsi" w:cs="Arial"/>
          <w:b/>
          <w:sz w:val="20"/>
          <w:szCs w:val="20"/>
          <w:lang w:val="sq-AL"/>
        </w:rPr>
        <w:t>4</w:t>
      </w:r>
      <w:r w:rsidRPr="00FA406F">
        <w:rPr>
          <w:rFonts w:asciiTheme="majorHAnsi" w:eastAsia="Batang" w:hAnsiTheme="majorHAnsi" w:cs="Arial"/>
          <w:b/>
          <w:sz w:val="20"/>
          <w:szCs w:val="20"/>
          <w:lang w:val="sq-AL"/>
        </w:rPr>
        <w:t xml:space="preserve"> Numri total i punonjësve t</w:t>
      </w:r>
      <w:r>
        <w:rPr>
          <w:rFonts w:asciiTheme="majorHAnsi" w:eastAsia="Batang" w:hAnsiTheme="majorHAnsi" w:cs="Arial"/>
          <w:b/>
          <w:sz w:val="20"/>
          <w:szCs w:val="20"/>
          <w:lang w:val="sq-AL"/>
        </w:rPr>
        <w:t>ë</w:t>
      </w:r>
      <w:r w:rsidRPr="00FA406F">
        <w:rPr>
          <w:rFonts w:asciiTheme="majorHAnsi" w:eastAsia="Batang" w:hAnsiTheme="majorHAnsi" w:cs="Arial"/>
          <w:b/>
          <w:sz w:val="20"/>
          <w:szCs w:val="20"/>
          <w:lang w:val="sq-AL"/>
        </w:rPr>
        <w:t xml:space="preserve"> trajnuar n</w:t>
      </w:r>
      <w:r>
        <w:rPr>
          <w:rFonts w:asciiTheme="majorHAnsi" w:eastAsia="Batang" w:hAnsiTheme="majorHAnsi" w:cs="Arial"/>
          <w:b/>
          <w:sz w:val="20"/>
          <w:szCs w:val="20"/>
          <w:lang w:val="sq-AL"/>
        </w:rPr>
        <w:t>ë</w:t>
      </w:r>
      <w:r w:rsidRPr="00FA406F">
        <w:rPr>
          <w:rFonts w:asciiTheme="majorHAnsi" w:eastAsia="Batang" w:hAnsiTheme="majorHAnsi" w:cs="Arial"/>
          <w:b/>
          <w:sz w:val="20"/>
          <w:szCs w:val="20"/>
          <w:lang w:val="sq-AL"/>
        </w:rPr>
        <w:t xml:space="preserve"> sistem 2009-2012</w:t>
      </w:r>
    </w:p>
    <w:p w:rsidR="00CA5AB4" w:rsidRPr="00FA406F" w:rsidRDefault="00CA5AB4" w:rsidP="00CA5AB4">
      <w:pPr>
        <w:spacing w:after="0"/>
        <w:contextualSpacing/>
        <w:jc w:val="center"/>
        <w:rPr>
          <w:rFonts w:asciiTheme="majorHAnsi" w:eastAsia="Batang" w:hAnsiTheme="majorHAnsi" w:cs="Arial"/>
          <w:sz w:val="24"/>
          <w:szCs w:val="24"/>
          <w:lang w:val="sq-AL"/>
        </w:rPr>
      </w:pPr>
      <w:r w:rsidRPr="00FA406F">
        <w:rPr>
          <w:rFonts w:asciiTheme="majorHAnsi" w:eastAsia="Batang" w:hAnsiTheme="majorHAnsi" w:cs="Arial"/>
          <w:noProof/>
          <w:sz w:val="24"/>
          <w:szCs w:val="24"/>
          <w:lang w:val="sq-AL" w:eastAsia="sq-AL"/>
        </w:rPr>
        <w:drawing>
          <wp:inline distT="0" distB="0" distL="0" distR="0">
            <wp:extent cx="3840569" cy="1977656"/>
            <wp:effectExtent l="19050" t="0" r="26581" b="3544"/>
            <wp:docPr id="3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5AB4" w:rsidRDefault="00CA5AB4" w:rsidP="00CA5AB4">
      <w:pPr>
        <w:spacing w:after="0"/>
        <w:contextualSpacing/>
        <w:jc w:val="both"/>
        <w:rPr>
          <w:rFonts w:asciiTheme="majorHAnsi" w:hAnsiTheme="majorHAnsi" w:cs="Arial"/>
          <w:b/>
          <w:bCs/>
          <w:i/>
          <w:iCs/>
          <w:sz w:val="24"/>
          <w:szCs w:val="24"/>
          <w:u w:val="single"/>
          <w:lang w:val="sq-AL"/>
        </w:rPr>
      </w:pPr>
    </w:p>
    <w:p w:rsidR="00CA5AB4" w:rsidRPr="00FA406F" w:rsidRDefault="00CA5AB4" w:rsidP="00CA5AB4">
      <w:pPr>
        <w:spacing w:after="0"/>
        <w:contextualSpacing/>
        <w:jc w:val="both"/>
        <w:rPr>
          <w:rFonts w:asciiTheme="majorHAnsi" w:eastAsia="Batang" w:hAnsiTheme="majorHAnsi" w:cs="Arial"/>
          <w:sz w:val="24"/>
          <w:szCs w:val="24"/>
          <w:lang w:val="sq-AL"/>
        </w:rPr>
      </w:pPr>
    </w:p>
    <w:p w:rsidR="00CA5AB4" w:rsidRDefault="00CA5AB4" w:rsidP="00CA5AB4">
      <w:pPr>
        <w:spacing w:after="0"/>
        <w:contextualSpacing/>
        <w:rPr>
          <w:rFonts w:asciiTheme="majorHAnsi" w:eastAsia="Batang" w:hAnsiTheme="majorHAnsi" w:cs="Arial"/>
          <w:b/>
          <w:sz w:val="20"/>
          <w:szCs w:val="20"/>
          <w:lang w:val="sq-AL"/>
        </w:rPr>
      </w:pPr>
    </w:p>
    <w:p w:rsidR="00CC47DF" w:rsidRDefault="00EC353B"/>
    <w:sectPr w:rsidR="00CC47DF" w:rsidSect="003F0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25E3"/>
    <w:multiLevelType w:val="hybridMultilevel"/>
    <w:tmpl w:val="7930C3A4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03941"/>
    <w:multiLevelType w:val="hybridMultilevel"/>
    <w:tmpl w:val="89340BD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A5AB4"/>
    <w:rsid w:val="003F0E73"/>
    <w:rsid w:val="004F053C"/>
    <w:rsid w:val="00936E68"/>
    <w:rsid w:val="00CA5AB4"/>
    <w:rsid w:val="00EC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B4"/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A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A5AB4"/>
    <w:pPr>
      <w:ind w:left="720"/>
      <w:contextualSpacing/>
    </w:pPr>
  </w:style>
  <w:style w:type="table" w:styleId="TableGrid">
    <w:name w:val="Table Grid"/>
    <w:basedOn w:val="TableNormal"/>
    <w:uiPriority w:val="59"/>
    <w:rsid w:val="00CA5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B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lerina\AppData\Local\Microsoft\Windows\Temporary%20Internet%20Files\Content.Outlook\CNJJHTHL\Boo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lerina\AppData\Local\Microsoft\Windows\Temporary%20Internet%20Files\Content.Outlook\CNJJHTHL\Book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q-AL"/>
  <c:style val="4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Sheet1!$A$39</c:f>
              <c:strCache>
                <c:ptCount val="1"/>
                <c:pt idx="0">
                  <c:v>Te paraburgosur</c:v>
                </c:pt>
              </c:strCache>
            </c:strRef>
          </c:tx>
          <c:dLbls>
            <c:showVal val="1"/>
          </c:dLbls>
          <c:cat>
            <c:numRef>
              <c:f>Sheet1!$B$38:$C$38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Sheet1!$B$39:$C$39</c:f>
              <c:numCache>
                <c:formatCode>General</c:formatCode>
                <c:ptCount val="2"/>
                <c:pt idx="0">
                  <c:v>154</c:v>
                </c:pt>
                <c:pt idx="1">
                  <c:v>165</c:v>
                </c:pt>
              </c:numCache>
            </c:numRef>
          </c:val>
        </c:ser>
        <c:ser>
          <c:idx val="1"/>
          <c:order val="1"/>
          <c:tx>
            <c:strRef>
              <c:f>Sheet1!$A$40</c:f>
              <c:strCache>
                <c:ptCount val="1"/>
                <c:pt idx="0">
                  <c:v>Te denuar</c:v>
                </c:pt>
              </c:strCache>
            </c:strRef>
          </c:tx>
          <c:dLbls>
            <c:showVal val="1"/>
          </c:dLbls>
          <c:cat>
            <c:numRef>
              <c:f>Sheet1!$B$38:$C$38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Sheet1!$B$40:$C$40</c:f>
              <c:numCache>
                <c:formatCode>General</c:formatCode>
                <c:ptCount val="2"/>
                <c:pt idx="0">
                  <c:v>449</c:v>
                </c:pt>
                <c:pt idx="1">
                  <c:v>449</c:v>
                </c:pt>
              </c:numCache>
            </c:numRef>
          </c:val>
        </c:ser>
        <c:dLbls>
          <c:showVal val="1"/>
        </c:dLbls>
        <c:axId val="141635968"/>
        <c:axId val="141647872"/>
      </c:barChart>
      <c:catAx>
        <c:axId val="141635968"/>
        <c:scaling>
          <c:orientation val="minMax"/>
        </c:scaling>
        <c:axPos val="b"/>
        <c:numFmt formatCode="General" sourceLinked="1"/>
        <c:majorTickMark val="none"/>
        <c:tickLblPos val="nextTo"/>
        <c:crossAx val="141647872"/>
        <c:crosses val="autoZero"/>
        <c:auto val="1"/>
        <c:lblAlgn val="ctr"/>
        <c:lblOffset val="100"/>
      </c:catAx>
      <c:valAx>
        <c:axId val="14164787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41635968"/>
        <c:crosses val="autoZero"/>
        <c:crossBetween val="between"/>
      </c:valAx>
    </c:plotArea>
    <c:legend>
      <c:legendPos val="t"/>
    </c:legend>
    <c:plotVisOnly val="1"/>
  </c:chart>
  <c:spPr>
    <a:solidFill>
      <a:schemeClr val="lt1"/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q-A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q-AL"/>
  <c:style val="4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Sheet1!$A$55</c:f>
              <c:strCache>
                <c:ptCount val="1"/>
                <c:pt idx="0">
                  <c:v>Te paraburgosur</c:v>
                </c:pt>
              </c:strCache>
            </c:strRef>
          </c:tx>
          <c:cat>
            <c:strRef>
              <c:f>Sheet1!$B$54:$C$54</c:f>
              <c:strCache>
                <c:ptCount val="2"/>
                <c:pt idx="0">
                  <c:v>Viti 2011</c:v>
                </c:pt>
                <c:pt idx="1">
                  <c:v>Viti 2012</c:v>
                </c:pt>
              </c:strCache>
            </c:strRef>
          </c:cat>
          <c:val>
            <c:numRef>
              <c:f>Sheet1!$B$55:$C$55</c:f>
              <c:numCache>
                <c:formatCode>General</c:formatCode>
                <c:ptCount val="2"/>
                <c:pt idx="0">
                  <c:v>154</c:v>
                </c:pt>
                <c:pt idx="1">
                  <c:v>94</c:v>
                </c:pt>
              </c:numCache>
            </c:numRef>
          </c:val>
        </c:ser>
        <c:ser>
          <c:idx val="1"/>
          <c:order val="1"/>
          <c:tx>
            <c:strRef>
              <c:f>Sheet1!$A$56</c:f>
              <c:strCache>
                <c:ptCount val="1"/>
                <c:pt idx="0">
                  <c:v>Te denuar</c:v>
                </c:pt>
              </c:strCache>
            </c:strRef>
          </c:tx>
          <c:cat>
            <c:strRef>
              <c:f>Sheet1!$B$54:$C$54</c:f>
              <c:strCache>
                <c:ptCount val="2"/>
                <c:pt idx="0">
                  <c:v>Viti 2011</c:v>
                </c:pt>
                <c:pt idx="1">
                  <c:v>Viti 2012</c:v>
                </c:pt>
              </c:strCache>
            </c:strRef>
          </c:cat>
          <c:val>
            <c:numRef>
              <c:f>Sheet1!$B$56:$C$56</c:f>
              <c:numCache>
                <c:formatCode>General</c:formatCode>
                <c:ptCount val="2"/>
                <c:pt idx="0">
                  <c:v>449</c:v>
                </c:pt>
                <c:pt idx="1">
                  <c:v>460</c:v>
                </c:pt>
              </c:numCache>
            </c:numRef>
          </c:val>
        </c:ser>
        <c:gapWidth val="95"/>
        <c:axId val="143866112"/>
        <c:axId val="147119104"/>
      </c:barChart>
      <c:catAx>
        <c:axId val="143866112"/>
        <c:scaling>
          <c:orientation val="minMax"/>
        </c:scaling>
        <c:axPos val="l"/>
        <c:numFmt formatCode="General" sourceLinked="1"/>
        <c:majorTickMark val="none"/>
        <c:tickLblPos val="nextTo"/>
        <c:crossAx val="147119104"/>
        <c:crosses val="autoZero"/>
        <c:auto val="1"/>
        <c:lblAlgn val="ctr"/>
        <c:lblOffset val="100"/>
      </c:catAx>
      <c:valAx>
        <c:axId val="147119104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438661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</c:spPr>
      </c:dTable>
    </c:plotArea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q-A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q-AL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3.154121863799289E-2"/>
          <c:y val="0.14220623501199275"/>
          <c:w val="0.79068100358423365"/>
          <c:h val="0.67802941898450986"/>
        </c:manualLayout>
      </c:layout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="1"/>
                </a:pPr>
                <a:endParaRPr lang="sq-AL"/>
              </a:p>
            </c:txPr>
            <c:showVal val="1"/>
          </c:dLbls>
          <c:cat>
            <c:strRef>
              <c:f>Sheet1!$D$6:$D$10</c:f>
              <c:strCach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Total</c:v>
                </c:pt>
              </c:strCache>
            </c:strRef>
          </c:cat>
          <c:val>
            <c:numRef>
              <c:f>Sheet1!$E$6:$E$10</c:f>
              <c:numCache>
                <c:formatCode>General</c:formatCode>
                <c:ptCount val="5"/>
                <c:pt idx="0">
                  <c:v>1020</c:v>
                </c:pt>
                <c:pt idx="1">
                  <c:v>617</c:v>
                </c:pt>
                <c:pt idx="2">
                  <c:v>1024</c:v>
                </c:pt>
                <c:pt idx="3">
                  <c:v>1436</c:v>
                </c:pt>
                <c:pt idx="4">
                  <c:v>3827</c:v>
                </c:pt>
              </c:numCache>
            </c:numRef>
          </c:val>
        </c:ser>
        <c:dLbls>
          <c:showVal val="1"/>
        </c:dLbls>
        <c:shape val="cylinder"/>
        <c:axId val="152068480"/>
        <c:axId val="152071168"/>
        <c:axId val="0"/>
      </c:bar3DChart>
      <c:catAx>
        <c:axId val="152068480"/>
        <c:scaling>
          <c:orientation val="minMax"/>
        </c:scaling>
        <c:axPos val="b"/>
        <c:majorTickMark val="none"/>
        <c:tickLblPos val="nextTo"/>
        <c:spPr>
          <a:solidFill>
            <a:schemeClr val="accent1">
              <a:lumMod val="20000"/>
              <a:lumOff val="80000"/>
            </a:schemeClr>
          </a:solidFill>
        </c:spPr>
        <c:txPr>
          <a:bodyPr/>
          <a:lstStyle/>
          <a:p>
            <a:pPr>
              <a:defRPr sz="1200" b="1"/>
            </a:pPr>
            <a:endParaRPr lang="sq-AL"/>
          </a:p>
        </c:txPr>
        <c:crossAx val="152071168"/>
        <c:crosses val="autoZero"/>
        <c:auto val="1"/>
        <c:lblAlgn val="ctr"/>
        <c:lblOffset val="100"/>
      </c:catAx>
      <c:valAx>
        <c:axId val="152071168"/>
        <c:scaling>
          <c:orientation val="minMax"/>
        </c:scaling>
        <c:delete val="1"/>
        <c:axPos val="l"/>
        <c:numFmt formatCode="General" sourceLinked="1"/>
        <c:tickLblPos val="nextTo"/>
        <c:crossAx val="152068480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q-AL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5802-8DE8-482E-A9A1-0114F516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2219</Words>
  <Characters>12654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Blerina</dc:creator>
  <cp:lastModifiedBy>Blerina</cp:lastModifiedBy>
  <cp:revision>2</cp:revision>
  <dcterms:created xsi:type="dcterms:W3CDTF">2013-01-31T11:43:00Z</dcterms:created>
  <dcterms:modified xsi:type="dcterms:W3CDTF">2013-01-31T11:47:00Z</dcterms:modified>
</cp:coreProperties>
</file>